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629"/>
        <w:gridCol w:w="723"/>
        <w:gridCol w:w="146"/>
        <w:gridCol w:w="409"/>
        <w:gridCol w:w="153"/>
        <w:gridCol w:w="185"/>
        <w:gridCol w:w="377"/>
        <w:gridCol w:w="548"/>
        <w:gridCol w:w="15"/>
        <w:gridCol w:w="266"/>
        <w:gridCol w:w="295"/>
        <w:gridCol w:w="350"/>
        <w:gridCol w:w="213"/>
        <w:gridCol w:w="544"/>
        <w:gridCol w:w="98"/>
        <w:gridCol w:w="469"/>
        <w:gridCol w:w="567"/>
        <w:gridCol w:w="559"/>
        <w:gridCol w:w="12"/>
        <w:gridCol w:w="315"/>
        <w:gridCol w:w="248"/>
        <w:gridCol w:w="564"/>
        <w:gridCol w:w="1421"/>
      </w:tblGrid>
      <w:tr w:rsidR="006A701A" w:rsidRPr="005A2E3E" w:rsidTr="007602B8">
        <w:trPr>
          <w:trHeight w:val="1611"/>
        </w:trPr>
        <w:tc>
          <w:tcPr>
            <w:tcW w:w="6506" w:type="dxa"/>
            <w:gridSpan w:val="16"/>
          </w:tcPr>
          <w:p w:rsidR="006A701A" w:rsidRPr="005A2E3E" w:rsidRDefault="006A701A" w:rsidP="0065366E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</w:rPr>
            </w:pPr>
            <w:bookmarkStart w:id="0" w:name="t1"/>
            <w:r w:rsidRPr="005A2E3E">
              <w:rPr>
                <w:rFonts w:ascii="Times New Roman" w:hAnsi="Times New Roman"/>
                <w:b/>
              </w:rPr>
              <w:t xml:space="preserve">Nazwa </w:t>
            </w:r>
            <w:r w:rsidR="001B75D8" w:rsidRPr="005A2E3E">
              <w:rPr>
                <w:rFonts w:ascii="Times New Roman" w:hAnsi="Times New Roman"/>
                <w:b/>
              </w:rPr>
              <w:t>projektu</w:t>
            </w:r>
            <w:r w:rsidR="00613B0A" w:rsidRPr="005A2E3E">
              <w:rPr>
                <w:rFonts w:ascii="Times New Roman" w:hAnsi="Times New Roman"/>
                <w:b/>
              </w:rPr>
              <w:t>:</w:t>
            </w:r>
          </w:p>
          <w:p w:rsidR="00AC57F0" w:rsidRPr="005A2E3E" w:rsidRDefault="00AC0BB8" w:rsidP="00613B0A">
            <w:pPr>
              <w:spacing w:line="240" w:lineRule="auto"/>
              <w:ind w:left="34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5A2E3E">
              <w:rPr>
                <w:rFonts w:ascii="Times New Roman" w:hAnsi="Times New Roman"/>
              </w:rPr>
              <w:t>Projekt</w:t>
            </w:r>
            <w:r w:rsidR="00AC57F0" w:rsidRPr="005A2E3E">
              <w:rPr>
                <w:rFonts w:ascii="Times New Roman" w:hAnsi="Times New Roman"/>
              </w:rPr>
              <w:t xml:space="preserve"> </w:t>
            </w:r>
            <w:r w:rsidR="0028256B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rozporządzenia Ministra Spraw Wewnętrznych i Administracji </w:t>
            </w:r>
            <w:r w:rsidR="008F50D8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zmieniające</w:t>
            </w:r>
            <w:r w:rsidR="000222F4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go</w:t>
            </w:r>
            <w:r w:rsidR="008F50D8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rozporządzenie w sprawie szczegółowych zasad otrzymywania i wysokości uposażenia zasadniczego policjantów, dodatków do uposażenia oraz ustalania wysługi lat, od której jest uzależniony wzrost uposażenia zasadniczego</w:t>
            </w:r>
          </w:p>
          <w:bookmarkEnd w:id="0"/>
          <w:p w:rsidR="0065366E" w:rsidRPr="005A2E3E" w:rsidRDefault="0065366E" w:rsidP="0065366E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Ministerstwo wiodące i ministerstwa współpracujące</w:t>
            </w:r>
            <w:r w:rsidR="00613B0A" w:rsidRPr="005A2E3E">
              <w:rPr>
                <w:rFonts w:ascii="Times New Roman" w:hAnsi="Times New Roman"/>
                <w:b/>
              </w:rPr>
              <w:t>:</w:t>
            </w:r>
          </w:p>
          <w:p w:rsidR="0065366E" w:rsidRPr="005A2E3E" w:rsidRDefault="0065366E" w:rsidP="0065366E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Ministerstwo Spraw Wewnętrznych i Administracji </w:t>
            </w:r>
          </w:p>
          <w:p w:rsidR="0065366E" w:rsidRPr="005A2E3E" w:rsidRDefault="0024616D" w:rsidP="00251E03">
            <w:pPr>
              <w:spacing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Ministerstwo Rodziny i Polityki </w:t>
            </w:r>
            <w:r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Społecznej</w:t>
            </w:r>
          </w:p>
          <w:p w:rsidR="0065366E" w:rsidRPr="005A2E3E" w:rsidRDefault="0065366E" w:rsidP="00251E03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Osoba odpowiedzialna za projekt w randze Ministra, Sekretarz</w:t>
            </w:r>
            <w:r w:rsidR="00613B0A" w:rsidRPr="005A2E3E">
              <w:rPr>
                <w:rFonts w:ascii="Times New Roman" w:hAnsi="Times New Roman"/>
                <w:b/>
              </w:rPr>
              <w:t>a Stanu lub Podsekretarza Stanu:</w:t>
            </w:r>
          </w:p>
          <w:p w:rsidR="0065366E" w:rsidRPr="005A2E3E" w:rsidRDefault="00C03931" w:rsidP="00251E03">
            <w:pPr>
              <w:pStyle w:val="Nagwek2"/>
              <w:spacing w:before="0" w:beforeAutospacing="0" w:after="0" w:afterAutospacing="0"/>
              <w:ind w:left="34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5A2E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Pan </w:t>
            </w:r>
            <w:r w:rsidR="00DC10F1" w:rsidRPr="005A2E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Maciej Wąsik</w:t>
            </w:r>
            <w:r w:rsidR="00613B0A" w:rsidRPr="005A2E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– Sekretarz Stanu w M</w:t>
            </w:r>
            <w:r w:rsidR="00604559" w:rsidRPr="005A2E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inisterstwie Spraw Wewnętrznych i Administracji</w:t>
            </w:r>
          </w:p>
          <w:p w:rsidR="0065366E" w:rsidRPr="005A2E3E" w:rsidRDefault="0065366E" w:rsidP="0065366E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Kontakt do opiekuna merytorycznego projektu</w:t>
            </w:r>
            <w:r w:rsidR="00613B0A" w:rsidRPr="005A2E3E">
              <w:rPr>
                <w:rFonts w:ascii="Times New Roman" w:hAnsi="Times New Roman"/>
                <w:b/>
              </w:rPr>
              <w:t>:</w:t>
            </w:r>
          </w:p>
          <w:p w:rsidR="00BE51A3" w:rsidRPr="005A2E3E" w:rsidRDefault="00DF148F" w:rsidP="005A2E3E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Pani Magdalena Świderska - </w:t>
            </w:r>
            <w:r w:rsidR="00BE51A3" w:rsidRPr="005A2E3E">
              <w:rPr>
                <w:rFonts w:ascii="Times New Roman" w:hAnsi="Times New Roman"/>
              </w:rPr>
              <w:t xml:space="preserve">Dyrektor </w:t>
            </w:r>
            <w:r w:rsidRPr="005A2E3E">
              <w:rPr>
                <w:rFonts w:ascii="Times New Roman" w:hAnsi="Times New Roman"/>
              </w:rPr>
              <w:t>Biura Finansów KGP</w:t>
            </w:r>
          </w:p>
          <w:p w:rsidR="00604559" w:rsidRPr="005A2E3E" w:rsidRDefault="00BE51A3" w:rsidP="005A2E3E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tel. 22 60</w:t>
            </w:r>
            <w:r w:rsidR="005A2E3E">
              <w:rPr>
                <w:rFonts w:ascii="Times New Roman" w:hAnsi="Times New Roman"/>
              </w:rPr>
              <w:t> </w:t>
            </w:r>
            <w:r w:rsidR="00DF148F" w:rsidRPr="005A2E3E">
              <w:rPr>
                <w:rFonts w:ascii="Times New Roman" w:hAnsi="Times New Roman"/>
              </w:rPr>
              <w:t>116</w:t>
            </w:r>
            <w:r w:rsidR="005A2E3E">
              <w:rPr>
                <w:rFonts w:ascii="Times New Roman" w:hAnsi="Times New Roman"/>
              </w:rPr>
              <w:t>-</w:t>
            </w:r>
            <w:r w:rsidR="00DF148F" w:rsidRPr="005A2E3E">
              <w:rPr>
                <w:rFonts w:ascii="Times New Roman" w:hAnsi="Times New Roman"/>
              </w:rPr>
              <w:t>08</w:t>
            </w:r>
            <w:r w:rsidRPr="005A2E3E">
              <w:rPr>
                <w:rFonts w:ascii="Times New Roman" w:hAnsi="Times New Roman"/>
              </w:rPr>
              <w:t xml:space="preserve">, e-mail: </w:t>
            </w:r>
            <w:r w:rsidR="002A2E38" w:rsidRPr="005A2E3E">
              <w:rPr>
                <w:rFonts w:ascii="Times New Roman" w:hAnsi="Times New Roman"/>
              </w:rPr>
              <w:t>sekbf@policja.gov.pl</w:t>
            </w:r>
          </w:p>
          <w:p w:rsidR="002A2E38" w:rsidRDefault="002A2E38" w:rsidP="005A2E3E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Pan insp. Jarosław Siekierski – Dyrektor </w:t>
            </w:r>
            <w:r w:rsidR="005A2E3E" w:rsidRPr="005A2E3E">
              <w:rPr>
                <w:rFonts w:ascii="Times New Roman" w:hAnsi="Times New Roman"/>
              </w:rPr>
              <w:t>Biura Kadr, Sz</w:t>
            </w:r>
            <w:r w:rsidR="005A2E3E">
              <w:rPr>
                <w:rFonts w:ascii="Times New Roman" w:hAnsi="Times New Roman"/>
              </w:rPr>
              <w:t xml:space="preserve">kolenia </w:t>
            </w:r>
            <w:r w:rsidR="005A2E3E">
              <w:rPr>
                <w:rFonts w:ascii="Times New Roman" w:hAnsi="Times New Roman"/>
              </w:rPr>
              <w:br/>
              <w:t xml:space="preserve">i Obsługi Prawnej </w:t>
            </w:r>
            <w:r w:rsidRPr="005A2E3E">
              <w:rPr>
                <w:rFonts w:ascii="Times New Roman" w:hAnsi="Times New Roman"/>
              </w:rPr>
              <w:t>KGP</w:t>
            </w:r>
          </w:p>
          <w:p w:rsidR="005A2E3E" w:rsidRPr="005A2E3E" w:rsidRDefault="005A2E3E" w:rsidP="005A2E3E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tel. 22 60</w:t>
            </w:r>
            <w:r>
              <w:rPr>
                <w:rFonts w:ascii="Times New Roman" w:hAnsi="Times New Roman"/>
              </w:rPr>
              <w:t> 142-28</w:t>
            </w:r>
            <w:r w:rsidRPr="005A2E3E">
              <w:rPr>
                <w:rFonts w:ascii="Times New Roman" w:hAnsi="Times New Roman"/>
              </w:rPr>
              <w:t xml:space="preserve">, e-mail: </w:t>
            </w:r>
            <w:r>
              <w:rPr>
                <w:rFonts w:ascii="Times New Roman" w:hAnsi="Times New Roman"/>
              </w:rPr>
              <w:t>biurokadr</w:t>
            </w:r>
            <w:r w:rsidRPr="005A2E3E">
              <w:rPr>
                <w:rFonts w:ascii="Times New Roman" w:hAnsi="Times New Roman"/>
              </w:rPr>
              <w:t>@policja.gov.pl</w:t>
            </w:r>
          </w:p>
        </w:tc>
        <w:tc>
          <w:tcPr>
            <w:tcW w:w="4155" w:type="dxa"/>
            <w:gridSpan w:val="8"/>
            <w:shd w:val="clear" w:color="auto" w:fill="FFFFFF"/>
          </w:tcPr>
          <w:p w:rsidR="000A7A53" w:rsidRPr="005A2E3E" w:rsidRDefault="000A7A53" w:rsidP="001B3460">
            <w:pPr>
              <w:spacing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03DC5" w:rsidRPr="005A2E3E" w:rsidRDefault="001B3460" w:rsidP="001B3460">
            <w:pPr>
              <w:spacing w:line="240" w:lineRule="auto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  <w:b/>
              </w:rPr>
              <w:t>Data sporządzenia</w:t>
            </w:r>
            <w:r w:rsidR="00D32EEB" w:rsidRPr="005A2E3E">
              <w:rPr>
                <w:rFonts w:ascii="Times New Roman" w:hAnsi="Times New Roman"/>
                <w:b/>
              </w:rPr>
              <w:t>:</w:t>
            </w:r>
          </w:p>
          <w:p w:rsidR="001B3460" w:rsidRPr="005A2E3E" w:rsidRDefault="00F65D26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</w:rPr>
              <w:t>2</w:t>
            </w:r>
            <w:r w:rsidR="00A208ED">
              <w:rPr>
                <w:rFonts w:ascii="Times New Roman" w:hAnsi="Times New Roman"/>
              </w:rPr>
              <w:t>7</w:t>
            </w:r>
            <w:r w:rsidR="00AA5002" w:rsidRPr="005A2E3E">
              <w:rPr>
                <w:rFonts w:ascii="Times New Roman" w:hAnsi="Times New Roman"/>
              </w:rPr>
              <w:t xml:space="preserve"> </w:t>
            </w:r>
            <w:r w:rsidR="0093295A" w:rsidRPr="005A2E3E">
              <w:rPr>
                <w:rFonts w:ascii="Times New Roman" w:hAnsi="Times New Roman"/>
              </w:rPr>
              <w:t>stycznia</w:t>
            </w:r>
            <w:r w:rsidR="008F50D8" w:rsidRPr="005A2E3E">
              <w:rPr>
                <w:rFonts w:ascii="Times New Roman" w:hAnsi="Times New Roman"/>
              </w:rPr>
              <w:t xml:space="preserve"> 202</w:t>
            </w:r>
            <w:r w:rsidR="0093295A" w:rsidRPr="005A2E3E">
              <w:rPr>
                <w:rFonts w:ascii="Times New Roman" w:hAnsi="Times New Roman"/>
              </w:rPr>
              <w:t>3</w:t>
            </w:r>
            <w:r w:rsidR="008F50D8" w:rsidRPr="005A2E3E">
              <w:rPr>
                <w:rFonts w:ascii="Times New Roman" w:hAnsi="Times New Roman"/>
              </w:rPr>
              <w:t xml:space="preserve"> r.</w:t>
            </w:r>
          </w:p>
          <w:p w:rsidR="00F76884" w:rsidRPr="005A2E3E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884" w:rsidRPr="005A2E3E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:rsidR="00F517F7" w:rsidRPr="005A2E3E" w:rsidRDefault="00251E03" w:rsidP="00251E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Art. 101 ust. 2, art. 102 i art. 104 ust. 6 ustawy </w:t>
            </w:r>
            <w:r w:rsidR="00243052" w:rsidRPr="005A2E3E">
              <w:rPr>
                <w:rFonts w:ascii="Times New Roman" w:hAnsi="Times New Roman"/>
              </w:rPr>
              <w:t>z dnia 6 kwietnia 1990 r. o Policji (Dz. U. z 20</w:t>
            </w:r>
            <w:r w:rsidR="00396B09" w:rsidRPr="005A2E3E">
              <w:rPr>
                <w:rFonts w:ascii="Times New Roman" w:hAnsi="Times New Roman"/>
              </w:rPr>
              <w:t>2</w:t>
            </w:r>
            <w:r w:rsidR="008F50D8" w:rsidRPr="005A2E3E">
              <w:rPr>
                <w:rFonts w:ascii="Times New Roman" w:hAnsi="Times New Roman"/>
              </w:rPr>
              <w:t>1</w:t>
            </w:r>
            <w:r w:rsidR="00243052" w:rsidRPr="005A2E3E">
              <w:rPr>
                <w:rFonts w:ascii="Times New Roman" w:hAnsi="Times New Roman"/>
              </w:rPr>
              <w:t xml:space="preserve"> r. poz. </w:t>
            </w:r>
            <w:r w:rsidR="008F50D8" w:rsidRPr="005A2E3E">
              <w:rPr>
                <w:rFonts w:ascii="Times New Roman" w:hAnsi="Times New Roman"/>
              </w:rPr>
              <w:t>1882</w:t>
            </w:r>
            <w:r w:rsidR="005C6220" w:rsidRPr="005A2E3E">
              <w:rPr>
                <w:rFonts w:ascii="Times New Roman" w:hAnsi="Times New Roman"/>
              </w:rPr>
              <w:t>,</w:t>
            </w:r>
            <w:r w:rsidR="006F2206" w:rsidRPr="005A2E3E">
              <w:rPr>
                <w:rFonts w:ascii="Times New Roman" w:hAnsi="Times New Roman"/>
              </w:rPr>
              <w:t xml:space="preserve"> z późn. zm.</w:t>
            </w:r>
            <w:r w:rsidR="00243052" w:rsidRPr="005A2E3E">
              <w:rPr>
                <w:rFonts w:ascii="Times New Roman" w:hAnsi="Times New Roman"/>
              </w:rPr>
              <w:t>)</w:t>
            </w:r>
            <w:r w:rsidR="00F517F7" w:rsidRPr="005A2E3E">
              <w:rPr>
                <w:rFonts w:ascii="Times New Roman" w:hAnsi="Times New Roman"/>
              </w:rPr>
              <w:br/>
            </w:r>
          </w:p>
          <w:p w:rsidR="006A701A" w:rsidRPr="005A2E3E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 xml:space="preserve">Nr </w:t>
            </w:r>
            <w:r w:rsidR="0057668E" w:rsidRPr="005A2E3E">
              <w:rPr>
                <w:rFonts w:ascii="Times New Roman" w:hAnsi="Times New Roman"/>
                <w:b/>
              </w:rPr>
              <w:t>w</w:t>
            </w:r>
            <w:r w:rsidRPr="005A2E3E">
              <w:rPr>
                <w:rFonts w:ascii="Times New Roman" w:hAnsi="Times New Roman"/>
                <w:b/>
              </w:rPr>
              <w:t xml:space="preserve"> wykaz</w:t>
            </w:r>
            <w:r w:rsidR="0057668E" w:rsidRPr="005A2E3E">
              <w:rPr>
                <w:rFonts w:ascii="Times New Roman" w:hAnsi="Times New Roman"/>
                <w:b/>
              </w:rPr>
              <w:t>ie</w:t>
            </w:r>
            <w:r w:rsidRPr="005A2E3E">
              <w:rPr>
                <w:rFonts w:ascii="Times New Roman" w:hAnsi="Times New Roman"/>
                <w:b/>
              </w:rPr>
              <w:t xml:space="preserve"> prac</w:t>
            </w:r>
            <w:r w:rsidR="004E7EB7" w:rsidRPr="005A2E3E">
              <w:rPr>
                <w:rFonts w:ascii="Times New Roman" w:hAnsi="Times New Roman"/>
                <w:b/>
              </w:rPr>
              <w:t>:</w:t>
            </w:r>
            <w:r w:rsidRPr="005A2E3E">
              <w:rPr>
                <w:rFonts w:ascii="Times New Roman" w:hAnsi="Times New Roman"/>
                <w:b/>
              </w:rPr>
              <w:t xml:space="preserve"> </w:t>
            </w:r>
            <w:r w:rsidR="00DF148F" w:rsidRPr="005A2E3E">
              <w:rPr>
                <w:rFonts w:ascii="Times New Roman" w:hAnsi="Times New Roman"/>
                <w:b/>
              </w:rPr>
              <w:t>…………..</w:t>
            </w:r>
          </w:p>
          <w:p w:rsidR="006A701A" w:rsidRPr="005A2E3E" w:rsidRDefault="006A701A" w:rsidP="00C01C41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6A701A" w:rsidRPr="005A2E3E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5A2E3E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5A2E3E" w:rsidTr="007602B8">
        <w:trPr>
          <w:trHeight w:val="333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5A2E3E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846624" w:rsidRPr="005A2E3E" w:rsidRDefault="00DF148F" w:rsidP="00DF148F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Zgodnie z art. 9 ust. 1 pkt 2 lit. d ustawy budżetowej na rok 2023 z dnia 15 grudnia 2022 r. kwota bazowa dla żołnierzy zawodowych i funkcjonariuszy ustalona została w wysokości 1.740,64 zł i tym samym jest wyższa od kwoty bazowej roku 2022 o 7,8%. Wzrost kwoty bazowej o 7,8% powoduje, że przeciętne miesięczne uposażenie policjanta wraz z nagrodą roczną wzrasta o 532 zł. Z kwoty 532 zł na wzrost uposażenia wraz z dodatkami przypada kwota 491 zł, a na wzrost nagrody rocznej - 41 zł. Przypadająca przeciętna miesięczna kwota wzrostu na 1 etat w wysokości 491 zł ma sfinansować wzrost wszystkich składników uposażenia. Należy zaznaczyć, że wzrost kwoty bazowej powoduje obligatoryjny wzrost uposażenia zasadniczego i w konsekwencji wzrost z tytułu wysługi lat, którego skala uzależniona będzie od indywidualnego stażu służby oraz wzrost dodatków do uposażenia, których wysokość relac</w:t>
            </w:r>
            <w:r w:rsidR="00846624" w:rsidRPr="005A2E3E">
              <w:rPr>
                <w:rFonts w:ascii="Times New Roman" w:hAnsi="Times New Roman"/>
              </w:rPr>
              <w:t>jonowana jest do kwoty bazowej.</w:t>
            </w:r>
          </w:p>
          <w:p w:rsidR="00AA5002" w:rsidRPr="005A2E3E" w:rsidRDefault="00846624" w:rsidP="00A208ED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W celu zagwarantowania powyższego pełnego wzrostu uposażeń policjantów i tym samym wdrożenia indywidualnych podwyżek zachodzi potrzeba podjęcia prac legislacyjnych nad projektem zmiany rozporządzenia Ministra Spraw Wewnętrznych i Administracji w sprawie szczegółowych zasad otrzymywania i wysokości uposażenia zasadniczego policjantów, dodatków do uposażenia oraz ustalania wysługi lat, od której jest uzależniony wzrost uposażenia za</w:t>
            </w:r>
            <w:r w:rsidR="00790AE4" w:rsidRPr="005A2E3E">
              <w:rPr>
                <w:rFonts w:ascii="Times New Roman" w:hAnsi="Times New Roman"/>
              </w:rPr>
              <w:t xml:space="preserve">sadniczego. Proponowane zmiany mają dotyczyć </w:t>
            </w:r>
            <w:r w:rsidR="008F3736" w:rsidRPr="005A2E3E">
              <w:rPr>
                <w:rFonts w:ascii="Times New Roman" w:hAnsi="Times New Roman"/>
              </w:rPr>
              <w:t>zmiany tabeli grup zaszeregowania stanowisk służbowych policjantów oraz odpowiadających im stawek uposażenia zasadniczego wyrażonych w posta</w:t>
            </w:r>
            <w:r w:rsidR="000F776F" w:rsidRPr="005A2E3E">
              <w:rPr>
                <w:rFonts w:ascii="Times New Roman" w:hAnsi="Times New Roman"/>
              </w:rPr>
              <w:t>ci</w:t>
            </w:r>
            <w:r w:rsidR="008F3736" w:rsidRPr="005A2E3E">
              <w:rPr>
                <w:rFonts w:ascii="Times New Roman" w:hAnsi="Times New Roman"/>
              </w:rPr>
              <w:t xml:space="preserve"> mnożników kwoty bazowej.  </w:t>
            </w: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auto"/>
          </w:tcPr>
          <w:p w:rsidR="00C603FD" w:rsidRPr="005A2E3E" w:rsidRDefault="00932C93" w:rsidP="00C603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5A2E3E">
              <w:rPr>
                <w:rFonts w:ascii="Times New Roman" w:hAnsi="Times New Roman"/>
                <w:bCs/>
              </w:rPr>
              <w:t xml:space="preserve">Projektowana zmiana rozporządzenia Ministra Spraw Wewnętrznych i Administracji z dnia 6 grudnia 2001 r. </w:t>
            </w:r>
            <w:r w:rsidRPr="005A2E3E">
              <w:rPr>
                <w:rFonts w:ascii="Times New Roman" w:hAnsi="Times New Roman"/>
                <w:bCs/>
                <w:i/>
              </w:rPr>
              <w:t>w sprawie szczegółowych zasad otrzymywania i wysokości uposażenia zasadniczego policjantów, dodatków do uposażenia oraz ustalania wysługi lat, od której jest uzależniony wzrost uposażenia zasadniczego</w:t>
            </w:r>
            <w:r w:rsidRPr="005A2E3E">
              <w:rPr>
                <w:rFonts w:ascii="Times New Roman" w:hAnsi="Times New Roman"/>
                <w:bCs/>
              </w:rPr>
              <w:t xml:space="preserve"> </w:t>
            </w:r>
            <w:r w:rsidR="00A208ED">
              <w:rPr>
                <w:rFonts w:ascii="Times New Roman" w:hAnsi="Times New Roman"/>
                <w:bCs/>
              </w:rPr>
              <w:t xml:space="preserve">polega na </w:t>
            </w:r>
            <w:r w:rsidR="001E6520" w:rsidRPr="005A2E3E">
              <w:rPr>
                <w:rFonts w:ascii="Times New Roman" w:hAnsi="Times New Roman"/>
                <w:bCs/>
              </w:rPr>
              <w:t>nadaniu nowego brzmienia załącznika nr 1 do ww. rozporządzenia dotyczącego</w:t>
            </w:r>
            <w:r w:rsidR="001E6520" w:rsidRPr="005A2E3E">
              <w:t xml:space="preserve"> </w:t>
            </w:r>
            <w:r w:rsidR="001E6520" w:rsidRPr="005A2E3E">
              <w:rPr>
                <w:rFonts w:ascii="Times New Roman" w:hAnsi="Times New Roman"/>
                <w:bCs/>
              </w:rPr>
              <w:t>tabeli grup zaszeregowania stanowisk służbowych policjantów oraz odpowiadających im stawek uposażenia zasadniczego wyrażonych w posta</w:t>
            </w:r>
            <w:r w:rsidR="000F776F" w:rsidRPr="005A2E3E">
              <w:rPr>
                <w:rFonts w:ascii="Times New Roman" w:hAnsi="Times New Roman"/>
                <w:bCs/>
              </w:rPr>
              <w:t>ci</w:t>
            </w:r>
            <w:r w:rsidR="001E6520" w:rsidRPr="005A2E3E">
              <w:rPr>
                <w:rFonts w:ascii="Times New Roman" w:hAnsi="Times New Roman"/>
                <w:bCs/>
              </w:rPr>
              <w:t xml:space="preserve"> mnożników kwoty bazowej.</w:t>
            </w:r>
            <w:r w:rsidR="00367885" w:rsidRPr="005A2E3E">
              <w:rPr>
                <w:rFonts w:ascii="Times New Roman" w:hAnsi="Times New Roman"/>
                <w:bCs/>
              </w:rPr>
              <w:t xml:space="preserve"> </w:t>
            </w:r>
            <w:r w:rsidR="00C603FD" w:rsidRPr="005A2E3E">
              <w:rPr>
                <w:rFonts w:ascii="Times New Roman" w:hAnsi="Times New Roman"/>
                <w:bCs/>
              </w:rPr>
              <w:t xml:space="preserve">Zgodnie z proponowanym rozwiązaniem </w:t>
            </w:r>
            <w:r w:rsidR="00367885" w:rsidRPr="005A2E3E">
              <w:rPr>
                <w:rFonts w:ascii="Times New Roman" w:hAnsi="Times New Roman"/>
                <w:bCs/>
              </w:rPr>
              <w:t>indywidulane mnożniki kwoty bazowej spowodują wzrost uposażenia zasadniczego oraz wpłyną na wzrost z tytułu wysługi lat, którego skala uzależniona będzie od indywidualnego stażu służby. Szacuje się, że średnie uposażenie policjantów w związku z proponowaną zmianą wzrośnie o kwotę około 17</w:t>
            </w:r>
            <w:r w:rsidR="002B35D8">
              <w:rPr>
                <w:rFonts w:ascii="Times New Roman" w:hAnsi="Times New Roman"/>
                <w:bCs/>
              </w:rPr>
              <w:t>9</w:t>
            </w:r>
            <w:r w:rsidR="00367885" w:rsidRPr="005A2E3E">
              <w:rPr>
                <w:rFonts w:ascii="Times New Roman" w:hAnsi="Times New Roman"/>
                <w:bCs/>
              </w:rPr>
              <w:t xml:space="preserve"> zł.</w:t>
            </w:r>
            <w:r w:rsidR="00EB3277" w:rsidRPr="005A2E3E">
              <w:rPr>
                <w:rFonts w:ascii="Times New Roman" w:hAnsi="Times New Roman"/>
                <w:bCs/>
              </w:rPr>
              <w:t xml:space="preserve"> Proponowane</w:t>
            </w:r>
            <w:r w:rsidR="0036099F" w:rsidRPr="005A2E3E">
              <w:rPr>
                <w:rFonts w:ascii="Times New Roman" w:hAnsi="Times New Roman"/>
                <w:bCs/>
              </w:rPr>
              <w:t xml:space="preserve"> mnożniki </w:t>
            </w:r>
            <w:r w:rsidR="00EB3277" w:rsidRPr="005A2E3E">
              <w:rPr>
                <w:rFonts w:ascii="Times New Roman" w:hAnsi="Times New Roman"/>
                <w:bCs/>
              </w:rPr>
              <w:t>w poszczególnych grupach zaszeregowania wskazano przy założeniu, że wraz z uwzględnieniem wzrostu pozostałych składników, uposażenia w każdej grupie wzrosną o około 7,8%.</w:t>
            </w:r>
          </w:p>
          <w:p w:rsidR="00AA5002" w:rsidRPr="005A2E3E" w:rsidRDefault="00C603FD" w:rsidP="00EB3277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5A2E3E">
              <w:rPr>
                <w:rFonts w:ascii="Times New Roman" w:hAnsi="Times New Roman"/>
              </w:rPr>
              <w:t xml:space="preserve">Celem proponowanej zmiany jest </w:t>
            </w:r>
            <w:r w:rsidR="00367885" w:rsidRPr="005A2E3E">
              <w:rPr>
                <w:rFonts w:ascii="Times New Roman" w:hAnsi="Times New Roman"/>
              </w:rPr>
              <w:t>osiągnięcie wzrostu przeciętnego uposażenia policjantów (bez nagrody rocznej</w:t>
            </w:r>
            <w:r w:rsidR="0036099F" w:rsidRPr="005A2E3E">
              <w:rPr>
                <w:rFonts w:ascii="Times New Roman" w:hAnsi="Times New Roman"/>
              </w:rPr>
              <w:t>)</w:t>
            </w:r>
            <w:r w:rsidR="0036099F" w:rsidRPr="005A2E3E">
              <w:rPr>
                <w:rFonts w:ascii="Times New Roman" w:hAnsi="Times New Roman"/>
              </w:rPr>
              <w:br/>
            </w:r>
            <w:r w:rsidR="00367885" w:rsidRPr="005A2E3E">
              <w:rPr>
                <w:rFonts w:ascii="Times New Roman" w:hAnsi="Times New Roman"/>
              </w:rPr>
              <w:t>o kwotę 491 zł</w:t>
            </w:r>
            <w:r w:rsidR="00EB3277" w:rsidRPr="005A2E3E">
              <w:rPr>
                <w:rFonts w:ascii="Times New Roman" w:hAnsi="Times New Roman"/>
              </w:rPr>
              <w:t xml:space="preserve"> od dnia 1 marca 2023 r.</w:t>
            </w:r>
            <w:r w:rsidR="00367885" w:rsidRPr="005A2E3E">
              <w:rPr>
                <w:rFonts w:ascii="Times New Roman" w:hAnsi="Times New Roman"/>
              </w:rPr>
              <w:t xml:space="preserve"> Szacowany wzrost składników zależnych </w:t>
            </w:r>
            <w:r w:rsidR="00EB3277" w:rsidRPr="005A2E3E">
              <w:rPr>
                <w:rFonts w:ascii="Times New Roman" w:hAnsi="Times New Roman"/>
              </w:rPr>
              <w:t xml:space="preserve">wyłącznie od </w:t>
            </w:r>
            <w:r w:rsidR="00367885" w:rsidRPr="005A2E3E">
              <w:rPr>
                <w:rFonts w:ascii="Times New Roman" w:hAnsi="Times New Roman"/>
              </w:rPr>
              <w:t xml:space="preserve">kwoty bazowej wynosi </w:t>
            </w:r>
            <w:r w:rsidR="00EB3277" w:rsidRPr="005A2E3E">
              <w:rPr>
                <w:rFonts w:ascii="Times New Roman" w:hAnsi="Times New Roman"/>
              </w:rPr>
              <w:t>312 zł. Wprowadzenie proponowanych zmian pozwoli na osiągnięcie szacowane</w:t>
            </w:r>
            <w:r w:rsidR="000F776F" w:rsidRPr="005A2E3E">
              <w:rPr>
                <w:rFonts w:ascii="Times New Roman" w:hAnsi="Times New Roman"/>
              </w:rPr>
              <w:t>go</w:t>
            </w:r>
            <w:r w:rsidR="00EB3277" w:rsidRPr="005A2E3E">
              <w:rPr>
                <w:rFonts w:ascii="Times New Roman" w:hAnsi="Times New Roman"/>
              </w:rPr>
              <w:t xml:space="preserve"> przeciętnego uposażenia policjantów należnego na dzień 1 marca 2023 r. na poziomie 6 795 zł. Będzie stanowiło to wypełnienie oczekiwań </w:t>
            </w:r>
            <w:r w:rsidR="00EB3277" w:rsidRPr="005A2E3E">
              <w:rPr>
                <w:rFonts w:ascii="Times New Roman" w:hAnsi="Times New Roman"/>
              </w:rPr>
              <w:lastRenderedPageBreak/>
              <w:t xml:space="preserve">policjantów, wpłynie na </w:t>
            </w:r>
            <w:r w:rsidRPr="005A2E3E">
              <w:rPr>
                <w:rFonts w:ascii="Times New Roman" w:hAnsi="Times New Roman"/>
                <w:bCs/>
              </w:rPr>
              <w:t>popraw</w:t>
            </w:r>
            <w:r w:rsidR="00EB3277" w:rsidRPr="005A2E3E">
              <w:rPr>
                <w:rFonts w:ascii="Times New Roman" w:hAnsi="Times New Roman"/>
                <w:bCs/>
              </w:rPr>
              <w:t>ę</w:t>
            </w:r>
            <w:r w:rsidRPr="005A2E3E">
              <w:rPr>
                <w:rFonts w:ascii="Times New Roman" w:hAnsi="Times New Roman"/>
                <w:bCs/>
              </w:rPr>
              <w:t xml:space="preserve"> warunków</w:t>
            </w:r>
            <w:r w:rsidR="00EB3277" w:rsidRPr="005A2E3E">
              <w:rPr>
                <w:rFonts w:ascii="Times New Roman" w:hAnsi="Times New Roman"/>
                <w:bCs/>
              </w:rPr>
              <w:t xml:space="preserve"> służby funkcjonariuszy Policji, </w:t>
            </w:r>
            <w:r w:rsidR="000963CA" w:rsidRPr="005A2E3E">
              <w:rPr>
                <w:rFonts w:ascii="Times New Roman" w:hAnsi="Times New Roman"/>
                <w:bCs/>
              </w:rPr>
              <w:t>wzmocni atrakcyjnoś</w:t>
            </w:r>
            <w:r w:rsidR="000F776F" w:rsidRPr="005A2E3E">
              <w:rPr>
                <w:rFonts w:ascii="Times New Roman" w:hAnsi="Times New Roman"/>
                <w:bCs/>
              </w:rPr>
              <w:t>ć</w:t>
            </w:r>
            <w:r w:rsidR="000963CA" w:rsidRPr="005A2E3E">
              <w:rPr>
                <w:rFonts w:ascii="Times New Roman" w:hAnsi="Times New Roman"/>
                <w:bCs/>
              </w:rPr>
              <w:t xml:space="preserve"> pełnienia służby </w:t>
            </w:r>
            <w:r w:rsidR="000F776F" w:rsidRPr="005A2E3E">
              <w:rPr>
                <w:rFonts w:ascii="Times New Roman" w:hAnsi="Times New Roman"/>
                <w:bCs/>
              </w:rPr>
              <w:br/>
            </w:r>
            <w:r w:rsidR="000963CA" w:rsidRPr="005A2E3E">
              <w:rPr>
                <w:rFonts w:ascii="Times New Roman" w:hAnsi="Times New Roman"/>
                <w:bCs/>
              </w:rPr>
              <w:t>w Policji</w:t>
            </w:r>
            <w:r w:rsidR="000F776F" w:rsidRPr="005A2E3E">
              <w:rPr>
                <w:rFonts w:ascii="Times New Roman" w:hAnsi="Times New Roman"/>
                <w:bCs/>
              </w:rPr>
              <w:t xml:space="preserve"> </w:t>
            </w:r>
            <w:r w:rsidR="000963CA" w:rsidRPr="005A2E3E">
              <w:rPr>
                <w:rFonts w:ascii="Times New Roman" w:hAnsi="Times New Roman"/>
                <w:bCs/>
              </w:rPr>
              <w:t>i zmniejszenie liczby wakatów w poszczególnych jednostkach organizacyjnych.</w:t>
            </w:r>
          </w:p>
          <w:p w:rsidR="0036099F" w:rsidRPr="005A2E3E" w:rsidRDefault="001249F9" w:rsidP="001249F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5A2E3E">
              <w:rPr>
                <w:rFonts w:ascii="Times New Roman" w:hAnsi="Times New Roman"/>
                <w:bCs/>
              </w:rPr>
              <w:t xml:space="preserve">Jednocześnie, w ustawie z dnia 1 grudnia 2022 r. o szczególnych rozwiązaniach służących realizacji ustawy budżetowej na rok 2023 (Dz. U. poz. 2666), której regulacje mają charakter komplementarny do ustawy budżetowej na rok 2023, w art. 41 ust. 1 wprowadzono zapis, że kwotę bazową określoną w ustawie budżetowej na rok 2023 dla żołnierzy zawodowych, funkcjonariuszy oraz funkcjonariuszy Służby Celno-Skarbowej stosuje się do obliczenia ich uposażeń </w:t>
            </w:r>
            <w:r w:rsidR="0036099F" w:rsidRPr="005A2E3E">
              <w:rPr>
                <w:rFonts w:ascii="Times New Roman" w:hAnsi="Times New Roman"/>
                <w:bCs/>
              </w:rPr>
              <w:br/>
            </w:r>
            <w:r w:rsidRPr="005A2E3E">
              <w:rPr>
                <w:rFonts w:ascii="Times New Roman" w:hAnsi="Times New Roman"/>
                <w:bCs/>
              </w:rPr>
              <w:t xml:space="preserve">w okresie od dnia 1 marca 2023 r. do dnia 31 grudnia 2023 r. Ponadto, w ust. 2 zapisano, że do obliczenia uposażeń żołnierzy zawodowych, funkcjonariuszy oraz funkcjonariuszy Służby Celno-Skarbowej należnych od dnia 1 stycznia 2023 r. do dnia 28 lutego 2023 r. stosuje się kwoty bazowe ustalone w ustawie budżetowej na rok 2022 z dnia 17 grudnia 2021 </w:t>
            </w:r>
            <w:r w:rsidR="0036099F" w:rsidRPr="005A2E3E">
              <w:rPr>
                <w:rFonts w:ascii="Times New Roman" w:hAnsi="Times New Roman"/>
                <w:bCs/>
              </w:rPr>
              <w:t>r. (Dz. U. z 2022 r. poz. 270).</w:t>
            </w:r>
          </w:p>
          <w:p w:rsidR="001249F9" w:rsidRPr="005A2E3E" w:rsidRDefault="001249F9" w:rsidP="0036099F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5A2E3E">
              <w:rPr>
                <w:rFonts w:ascii="Times New Roman" w:hAnsi="Times New Roman"/>
                <w:bCs/>
              </w:rPr>
              <w:t xml:space="preserve">W ust. 3 tego artykułu uregulowano kwestię wysokości uposażenia od dnia 1 marca 2023 r. do dnia 31 grudnia 2023 r., które to w tym okresie gwarantuje </w:t>
            </w:r>
            <w:r w:rsidR="0036099F" w:rsidRPr="005A2E3E">
              <w:rPr>
                <w:rFonts w:ascii="Times New Roman" w:hAnsi="Times New Roman"/>
                <w:bCs/>
              </w:rPr>
              <w:t>comiesięczne</w:t>
            </w:r>
            <w:r w:rsidRPr="005A2E3E">
              <w:rPr>
                <w:rFonts w:ascii="Times New Roman" w:hAnsi="Times New Roman"/>
                <w:bCs/>
              </w:rPr>
              <w:t xml:space="preserve"> zwiększeni</w:t>
            </w:r>
            <w:r w:rsidR="0036099F" w:rsidRPr="005A2E3E">
              <w:rPr>
                <w:rFonts w:ascii="Times New Roman" w:hAnsi="Times New Roman"/>
                <w:bCs/>
              </w:rPr>
              <w:t>e</w:t>
            </w:r>
            <w:r w:rsidRPr="005A2E3E">
              <w:rPr>
                <w:rFonts w:ascii="Times New Roman" w:hAnsi="Times New Roman"/>
                <w:bCs/>
              </w:rPr>
              <w:t xml:space="preserve"> o 1/5 kwoty różnicy pomiędzy uposażeniem należnym na dzień 1 marca 2023 r. (obliczanym na podstawie kwoty bazowej ustalonej w ustawie budżetowej na rok 2023)</w:t>
            </w:r>
            <w:r w:rsidR="0036099F" w:rsidRPr="005A2E3E">
              <w:rPr>
                <w:rFonts w:ascii="Times New Roman" w:hAnsi="Times New Roman"/>
                <w:bCs/>
              </w:rPr>
              <w:t>,</w:t>
            </w:r>
            <w:r w:rsidRPr="005A2E3E">
              <w:rPr>
                <w:rFonts w:ascii="Times New Roman" w:hAnsi="Times New Roman"/>
                <w:bCs/>
              </w:rPr>
              <w:t xml:space="preserve"> </w:t>
            </w:r>
            <w:r w:rsidR="0036099F" w:rsidRPr="005A2E3E">
              <w:rPr>
                <w:rFonts w:ascii="Times New Roman" w:hAnsi="Times New Roman"/>
                <w:bCs/>
              </w:rPr>
              <w:br/>
            </w:r>
            <w:r w:rsidRPr="005A2E3E">
              <w:rPr>
                <w:rFonts w:ascii="Times New Roman" w:hAnsi="Times New Roman"/>
                <w:bCs/>
              </w:rPr>
              <w:t xml:space="preserve">a uposażeniem należnym na dzień 1 stycznia 2023 r. (obliczonym zgodnie z ust. 2). Wprowadzenie przedłożonych zmian od dnia 1 marca 2023 r. wpłynie na wysokość </w:t>
            </w:r>
            <w:r w:rsidR="0036099F" w:rsidRPr="005A2E3E">
              <w:rPr>
                <w:rFonts w:ascii="Times New Roman" w:hAnsi="Times New Roman"/>
                <w:bCs/>
              </w:rPr>
              <w:t>uposażenia należnego na dzień 1 marca 2023 r., co jednocześnie przełoży się na wzrost naliczonego zwiększenia uposażenia o 1/5 różnicy.</w:t>
            </w:r>
          </w:p>
        </w:tc>
      </w:tr>
      <w:tr w:rsidR="006A701A" w:rsidRPr="005A2E3E" w:rsidTr="007602B8">
        <w:trPr>
          <w:trHeight w:val="307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5A2E3E">
              <w:rPr>
                <w:rFonts w:ascii="Times New Roman" w:hAnsi="Times New Roman"/>
                <w:b/>
              </w:rPr>
              <w:t>?</w:t>
            </w:r>
            <w:r w:rsidR="006A701A" w:rsidRPr="005A2E3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auto"/>
          </w:tcPr>
          <w:p w:rsidR="00FF175C" w:rsidRPr="005A2E3E" w:rsidRDefault="00FF175C" w:rsidP="00FF175C">
            <w:pPr>
              <w:jc w:val="both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Z uwagi na charakter wprowadzanych regulacji, nie przeprowadzano analizy porównawczej.</w:t>
            </w:r>
          </w:p>
        </w:tc>
      </w:tr>
      <w:tr w:rsidR="006A701A" w:rsidRPr="005A2E3E" w:rsidTr="007602B8">
        <w:trPr>
          <w:trHeight w:val="359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260F33" w:rsidRPr="005A2E3E" w:rsidTr="007602B8">
        <w:trPr>
          <w:trHeight w:val="142"/>
        </w:trPr>
        <w:tc>
          <w:tcPr>
            <w:tcW w:w="2907" w:type="dxa"/>
            <w:gridSpan w:val="3"/>
            <w:shd w:val="clear" w:color="auto" w:fill="auto"/>
          </w:tcPr>
          <w:p w:rsidR="00260F33" w:rsidRPr="005A2E3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818" w:type="dxa"/>
            <w:gridSpan w:val="6"/>
            <w:shd w:val="clear" w:color="auto" w:fill="auto"/>
          </w:tcPr>
          <w:p w:rsidR="00260F33" w:rsidRPr="005A2E3E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817" w:type="dxa"/>
            <w:gridSpan w:val="9"/>
            <w:shd w:val="clear" w:color="auto" w:fill="auto"/>
          </w:tcPr>
          <w:p w:rsidR="00260F33" w:rsidRPr="005A2E3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Źródło danych</w:t>
            </w:r>
            <w:r w:rsidRPr="005A2E3E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260F33" w:rsidRPr="005A2E3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8F50D8" w:rsidRPr="005A2E3E" w:rsidTr="00D02AF8">
        <w:trPr>
          <w:trHeight w:val="1081"/>
        </w:trPr>
        <w:tc>
          <w:tcPr>
            <w:tcW w:w="2907" w:type="dxa"/>
            <w:gridSpan w:val="3"/>
            <w:shd w:val="clear" w:color="auto" w:fill="auto"/>
          </w:tcPr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Funkcjonariusze Policji </w:t>
            </w:r>
          </w:p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622C3" w:rsidRPr="005A2E3E" w:rsidRDefault="002622C3" w:rsidP="00D02AF8">
            <w:pPr>
              <w:tabs>
                <w:tab w:val="left" w:pos="136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:rsidR="00932C93" w:rsidRPr="005A2E3E" w:rsidRDefault="0093295A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107.109</w:t>
            </w: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2622C3" w:rsidRPr="005A2E3E" w:rsidRDefault="002622C3" w:rsidP="00D02AF8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817" w:type="dxa"/>
            <w:gridSpan w:val="9"/>
            <w:shd w:val="clear" w:color="auto" w:fill="auto"/>
          </w:tcPr>
          <w:p w:rsidR="00932C93" w:rsidRPr="005A2E3E" w:rsidRDefault="0093295A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Projekt ustawy budżetowej na 2023 r.</w:t>
            </w: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8F50D8" w:rsidRPr="005A2E3E" w:rsidRDefault="008F50D8" w:rsidP="00D02AF8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:rsidR="008F50D8" w:rsidRPr="005A2E3E" w:rsidRDefault="002C6CFF" w:rsidP="00D02AF8">
            <w:pPr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 xml:space="preserve">Ustanowienie </w:t>
            </w:r>
            <w:r w:rsidR="0011484E" w:rsidRPr="005A2E3E">
              <w:rPr>
                <w:rFonts w:ascii="Times New Roman" w:hAnsi="Times New Roman"/>
                <w:spacing w:val="-2"/>
              </w:rPr>
              <w:t>nowych stawek uposażenia zasadniczego wyrażonych w posta</w:t>
            </w:r>
            <w:r w:rsidR="000F776F" w:rsidRPr="005A2E3E">
              <w:rPr>
                <w:rFonts w:ascii="Times New Roman" w:hAnsi="Times New Roman"/>
                <w:spacing w:val="-2"/>
              </w:rPr>
              <w:t>ci</w:t>
            </w:r>
            <w:r w:rsidR="0011484E" w:rsidRPr="005A2E3E">
              <w:rPr>
                <w:rFonts w:ascii="Times New Roman" w:hAnsi="Times New Roman"/>
                <w:spacing w:val="-2"/>
              </w:rPr>
              <w:t xml:space="preserve"> mnożników kwoty bazowej.</w:t>
            </w:r>
          </w:p>
        </w:tc>
      </w:tr>
      <w:tr w:rsidR="005970B5" w:rsidRPr="005A2E3E" w:rsidTr="007602B8">
        <w:trPr>
          <w:trHeight w:val="302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5970B5" w:rsidRPr="005A2E3E" w:rsidRDefault="005970B5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5970B5" w:rsidRPr="005A2E3E" w:rsidTr="007602B8">
        <w:trPr>
          <w:trHeight w:val="342"/>
        </w:trPr>
        <w:tc>
          <w:tcPr>
            <w:tcW w:w="10661" w:type="dxa"/>
            <w:gridSpan w:val="24"/>
            <w:shd w:val="clear" w:color="auto" w:fill="FFFFFF"/>
          </w:tcPr>
          <w:p w:rsidR="009C2AB9" w:rsidRPr="005A2E3E" w:rsidRDefault="009C2AB9" w:rsidP="009C0131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Projekt </w:t>
            </w:r>
            <w:r w:rsidR="007D21C3" w:rsidRPr="005A2E3E">
              <w:rPr>
                <w:rFonts w:ascii="Times New Roman" w:hAnsi="Times New Roman"/>
              </w:rPr>
              <w:t>rozporządzenia</w:t>
            </w:r>
            <w:r w:rsidRPr="005A2E3E">
              <w:rPr>
                <w:rFonts w:ascii="Times New Roman" w:hAnsi="Times New Roman"/>
              </w:rPr>
              <w:t xml:space="preserve"> zosta</w:t>
            </w:r>
            <w:r w:rsidR="006F4012" w:rsidRPr="005A2E3E">
              <w:rPr>
                <w:rFonts w:ascii="Times New Roman" w:hAnsi="Times New Roman"/>
              </w:rPr>
              <w:t>ł</w:t>
            </w:r>
            <w:r w:rsidRPr="005A2E3E">
              <w:rPr>
                <w:rFonts w:ascii="Times New Roman" w:hAnsi="Times New Roman"/>
              </w:rPr>
              <w:t xml:space="preserve"> zamieszczony, stosownie do wymogów art. 5 ustawy z dnia 7 lipca 2005 r. </w:t>
            </w:r>
            <w:r w:rsidR="00E87343" w:rsidRPr="005A2E3E">
              <w:rPr>
                <w:rFonts w:ascii="Times New Roman" w:hAnsi="Times New Roman"/>
              </w:rPr>
              <w:br/>
            </w:r>
            <w:r w:rsidRPr="005A2E3E">
              <w:rPr>
                <w:rFonts w:ascii="Times New Roman" w:hAnsi="Times New Roman"/>
              </w:rPr>
              <w:t xml:space="preserve">o działalności lobbingowej w procesie stanowienia prawa (Dz. U. z 2017 r. poz. 248) oraz zgodnie z § 52 ust. 1 uchwały </w:t>
            </w:r>
            <w:r w:rsidR="00083EA7" w:rsidRPr="005A2E3E">
              <w:rPr>
                <w:rFonts w:ascii="Times New Roman" w:hAnsi="Times New Roman"/>
              </w:rPr>
              <w:t xml:space="preserve">nr 190 </w:t>
            </w:r>
            <w:r w:rsidRPr="005A2E3E">
              <w:rPr>
                <w:rFonts w:ascii="Times New Roman" w:hAnsi="Times New Roman"/>
              </w:rPr>
              <w:t>Rady Ministrów z dnia 29 października 2013 r. – Regulamin pracy Rady Ministrów (M.P. z 20</w:t>
            </w:r>
            <w:r w:rsidR="00083EA7" w:rsidRPr="005A2E3E">
              <w:rPr>
                <w:rFonts w:ascii="Times New Roman" w:hAnsi="Times New Roman"/>
              </w:rPr>
              <w:t>22</w:t>
            </w:r>
            <w:r w:rsidRPr="005A2E3E">
              <w:rPr>
                <w:rFonts w:ascii="Times New Roman" w:hAnsi="Times New Roman"/>
              </w:rPr>
              <w:t xml:space="preserve"> r. poz. </w:t>
            </w:r>
            <w:r w:rsidR="00083EA7" w:rsidRPr="005A2E3E">
              <w:rPr>
                <w:rFonts w:ascii="Times New Roman" w:hAnsi="Times New Roman"/>
              </w:rPr>
              <w:t>349</w:t>
            </w:r>
            <w:r w:rsidRPr="005A2E3E">
              <w:rPr>
                <w:rFonts w:ascii="Times New Roman" w:hAnsi="Times New Roman"/>
              </w:rPr>
              <w:t>)</w:t>
            </w:r>
            <w:r w:rsidR="001B08DA" w:rsidRPr="005A2E3E">
              <w:rPr>
                <w:rFonts w:ascii="Times New Roman" w:hAnsi="Times New Roman"/>
              </w:rPr>
              <w:t xml:space="preserve"> </w:t>
            </w:r>
            <w:r w:rsidRPr="005A2E3E">
              <w:rPr>
                <w:rFonts w:ascii="Times New Roman" w:hAnsi="Times New Roman"/>
              </w:rPr>
              <w:t>w</w:t>
            </w:r>
            <w:r w:rsidR="001B08DA" w:rsidRPr="005A2E3E">
              <w:rPr>
                <w:rFonts w:ascii="Times New Roman" w:hAnsi="Times New Roman"/>
              </w:rPr>
              <w:t> </w:t>
            </w:r>
            <w:r w:rsidRPr="005A2E3E">
              <w:rPr>
                <w:rFonts w:ascii="Times New Roman" w:hAnsi="Times New Roman"/>
              </w:rPr>
              <w:t>Biuletynie Informacji Publicznej Rządowego Centrum Legislacji.</w:t>
            </w:r>
          </w:p>
          <w:p w:rsidR="00FA0C20" w:rsidRPr="005A2E3E" w:rsidRDefault="00FA0C20" w:rsidP="00FA0C20">
            <w:pPr>
              <w:spacing w:after="6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Projekt został uzgodniony ze związkiem zawodowym NSZZ Policjantów.</w:t>
            </w:r>
          </w:p>
          <w:p w:rsidR="006F2206" w:rsidRPr="005A2E3E" w:rsidRDefault="00583791" w:rsidP="006F4012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Projektowane regulacje nie spowodują skutków dla budżetów jednostek samorządu terytorialnego, tym samym projekt nie wymaga konsultacji z Komisją Wspólną Rządu i Samorządu Terytorialnego.</w:t>
            </w:r>
          </w:p>
        </w:tc>
      </w:tr>
      <w:tr w:rsidR="005970B5" w:rsidRPr="005A2E3E" w:rsidTr="007602B8">
        <w:trPr>
          <w:trHeight w:val="363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5970B5" w:rsidRPr="005A2E3E" w:rsidRDefault="005970B5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5970B5" w:rsidRPr="005A2E3E" w:rsidTr="007602B8">
        <w:trPr>
          <w:trHeight w:val="142"/>
        </w:trPr>
        <w:tc>
          <w:tcPr>
            <w:tcW w:w="3053" w:type="dxa"/>
            <w:gridSpan w:val="4"/>
            <w:vMerge w:val="restart"/>
            <w:shd w:val="clear" w:color="auto" w:fill="FFFFFF"/>
          </w:tcPr>
          <w:p w:rsidR="005970B5" w:rsidRPr="005A2E3E" w:rsidRDefault="005970B5" w:rsidP="0057551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(ceny stałe z 20</w:t>
            </w:r>
            <w:r w:rsidR="0057551A"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608" w:type="dxa"/>
            <w:gridSpan w:val="20"/>
            <w:shd w:val="clear" w:color="auto" w:fill="FFFFFF"/>
          </w:tcPr>
          <w:p w:rsidR="005970B5" w:rsidRPr="005A2E3E" w:rsidRDefault="005970B5" w:rsidP="00D504A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172C8A" w:rsidRPr="005A2E3E" w:rsidTr="007602B8">
        <w:trPr>
          <w:trHeight w:val="142"/>
        </w:trPr>
        <w:tc>
          <w:tcPr>
            <w:tcW w:w="3053" w:type="dxa"/>
            <w:gridSpan w:val="4"/>
            <w:vMerge/>
            <w:shd w:val="clear" w:color="auto" w:fill="FFFFFF"/>
          </w:tcPr>
          <w:p w:rsidR="005970B5" w:rsidRPr="005A2E3E" w:rsidRDefault="005970B5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3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63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4" w:type="dxa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63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64" w:type="dxa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5970B5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BD5F7C" w:rsidRPr="005A2E3E" w:rsidTr="007602B8">
        <w:trPr>
          <w:trHeight w:val="32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2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44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44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3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3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6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6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7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7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B5" w:rsidRPr="005A2E3E" w:rsidTr="007602B8">
        <w:trPr>
          <w:trHeight w:val="348"/>
        </w:trPr>
        <w:tc>
          <w:tcPr>
            <w:tcW w:w="2184" w:type="dxa"/>
            <w:gridSpan w:val="2"/>
            <w:shd w:val="clear" w:color="auto" w:fill="FFFFFF"/>
            <w:vAlign w:val="center"/>
          </w:tcPr>
          <w:p w:rsidR="005970B5" w:rsidRPr="005A2E3E" w:rsidRDefault="005970B5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Źródła finansowania </w:t>
            </w:r>
          </w:p>
        </w:tc>
        <w:tc>
          <w:tcPr>
            <w:tcW w:w="8477" w:type="dxa"/>
            <w:gridSpan w:val="22"/>
            <w:shd w:val="clear" w:color="auto" w:fill="FFFFFF"/>
            <w:vAlign w:val="bottom"/>
          </w:tcPr>
          <w:p w:rsidR="003A673B" w:rsidRPr="005A2E3E" w:rsidRDefault="0011484E" w:rsidP="00114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5A2E3E">
              <w:rPr>
                <w:rFonts w:ascii="Times New Roman" w:hAnsi="Times New Roman"/>
              </w:rPr>
              <w:t>Sf</w:t>
            </w:r>
            <w:r w:rsidR="003A673B" w:rsidRPr="005A2E3E">
              <w:rPr>
                <w:rFonts w:ascii="Times New Roman" w:hAnsi="Times New Roman"/>
              </w:rPr>
              <w:t xml:space="preserve">inansowanie </w:t>
            </w:r>
            <w:r w:rsidRPr="005A2E3E">
              <w:rPr>
                <w:rFonts w:ascii="Times New Roman" w:hAnsi="Times New Roman"/>
              </w:rPr>
              <w:t xml:space="preserve">proponowanych zmian </w:t>
            </w:r>
            <w:r w:rsidR="003A673B" w:rsidRPr="005A2E3E">
              <w:rPr>
                <w:rFonts w:ascii="Times New Roman" w:hAnsi="Times New Roman"/>
              </w:rPr>
              <w:t>odbędzie się ze środków ujętych w części 42 – Sprawy wewnętrzne w ramach środków przewidzi</w:t>
            </w:r>
            <w:r w:rsidRPr="005A2E3E">
              <w:rPr>
                <w:rFonts w:ascii="Times New Roman" w:hAnsi="Times New Roman"/>
              </w:rPr>
              <w:t xml:space="preserve">anych na funkcjonowanie Policji w związku </w:t>
            </w:r>
            <w:r w:rsidR="00552ED6" w:rsidRPr="005A2E3E">
              <w:rPr>
                <w:rFonts w:ascii="Times New Roman" w:hAnsi="Times New Roman"/>
              </w:rPr>
              <w:br/>
            </w:r>
            <w:r w:rsidRPr="005A2E3E">
              <w:rPr>
                <w:rFonts w:ascii="Times New Roman" w:hAnsi="Times New Roman"/>
              </w:rPr>
              <w:t>z określeniem w ustawie budżetowej wskaźnika wzrostu wynagrodzeń w państwowej sferze budżetowej w wysokości 107,8%.</w:t>
            </w:r>
          </w:p>
        </w:tc>
      </w:tr>
      <w:tr w:rsidR="0093295A" w:rsidRPr="005A2E3E" w:rsidTr="007602B8">
        <w:trPr>
          <w:trHeight w:val="1347"/>
        </w:trPr>
        <w:tc>
          <w:tcPr>
            <w:tcW w:w="2184" w:type="dxa"/>
            <w:gridSpan w:val="2"/>
            <w:shd w:val="clear" w:color="auto" w:fill="FFFFFF"/>
          </w:tcPr>
          <w:p w:rsidR="005970B5" w:rsidRPr="005A2E3E" w:rsidRDefault="005970B5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477" w:type="dxa"/>
            <w:gridSpan w:val="22"/>
            <w:shd w:val="clear" w:color="auto" w:fill="FFFFFF"/>
          </w:tcPr>
          <w:p w:rsidR="00E87343" w:rsidRPr="005A2E3E" w:rsidRDefault="002B35D8" w:rsidP="00134A0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Z</w:t>
            </w:r>
            <w:r w:rsidR="00134A0F" w:rsidRPr="005A2E3E">
              <w:rPr>
                <w:rFonts w:ascii="Times New Roman" w:hAnsi="Times New Roman"/>
                <w:bCs/>
              </w:rPr>
              <w:t>miana</w:t>
            </w:r>
            <w:r w:rsidR="00134A0F" w:rsidRPr="005A2E3E">
              <w:t xml:space="preserve"> </w:t>
            </w:r>
            <w:r w:rsidR="00134A0F" w:rsidRPr="005A2E3E">
              <w:rPr>
                <w:rFonts w:ascii="Times New Roman" w:hAnsi="Times New Roman"/>
                <w:bCs/>
              </w:rPr>
              <w:t>stawek uposażenia zasadniczego wyrażonych w postawić mnożników kwoty bazowej będzie dotyczyła wszystkich funkcjonariuszy tj. 107.109 etatów w jednostkach organizacyjnych Policji.</w:t>
            </w:r>
          </w:p>
          <w:p w:rsidR="00C603FD" w:rsidRPr="005A2E3E" w:rsidRDefault="00C603FD" w:rsidP="002B35D8">
            <w:pPr>
              <w:jc w:val="both"/>
              <w:rPr>
                <w:rFonts w:ascii="Times New Roman" w:hAnsi="Times New Roman"/>
                <w:szCs w:val="21"/>
              </w:rPr>
            </w:pPr>
            <w:r w:rsidRPr="005A2E3E">
              <w:rPr>
                <w:rFonts w:ascii="Times New Roman" w:hAnsi="Times New Roman"/>
                <w:szCs w:val="21"/>
              </w:rPr>
              <w:t>Szacowane</w:t>
            </w:r>
            <w:r w:rsidR="00927BDA" w:rsidRPr="005A2E3E">
              <w:rPr>
                <w:rFonts w:ascii="Times New Roman" w:hAnsi="Times New Roman"/>
                <w:szCs w:val="21"/>
              </w:rPr>
              <w:t xml:space="preserve"> roczne</w:t>
            </w:r>
            <w:r w:rsidRPr="005A2E3E">
              <w:rPr>
                <w:rFonts w:ascii="Times New Roman" w:hAnsi="Times New Roman"/>
                <w:szCs w:val="21"/>
              </w:rPr>
              <w:t xml:space="preserve"> koszty </w:t>
            </w:r>
            <w:r w:rsidR="003A673B" w:rsidRPr="005A2E3E">
              <w:rPr>
                <w:rFonts w:ascii="Times New Roman" w:hAnsi="Times New Roman"/>
                <w:szCs w:val="21"/>
              </w:rPr>
              <w:t>wprowadzenia projektowan</w:t>
            </w:r>
            <w:r w:rsidR="002B578F" w:rsidRPr="005A2E3E">
              <w:rPr>
                <w:rFonts w:ascii="Times New Roman" w:hAnsi="Times New Roman"/>
                <w:szCs w:val="21"/>
              </w:rPr>
              <w:t>ych</w:t>
            </w:r>
            <w:r w:rsidR="003A673B" w:rsidRPr="005A2E3E">
              <w:rPr>
                <w:rFonts w:ascii="Times New Roman" w:hAnsi="Times New Roman"/>
                <w:szCs w:val="21"/>
              </w:rPr>
              <w:t xml:space="preserve"> regulacji </w:t>
            </w:r>
            <w:r w:rsidR="00927BDA" w:rsidRPr="005A2E3E">
              <w:rPr>
                <w:rFonts w:ascii="Times New Roman" w:hAnsi="Times New Roman"/>
                <w:szCs w:val="21"/>
              </w:rPr>
              <w:t xml:space="preserve">wyniosą </w:t>
            </w:r>
            <w:r w:rsidR="002B578F" w:rsidRPr="005A2E3E">
              <w:rPr>
                <w:rFonts w:ascii="Times New Roman" w:hAnsi="Times New Roman"/>
                <w:szCs w:val="21"/>
              </w:rPr>
              <w:t>226,7 mln</w:t>
            </w:r>
            <w:r w:rsidRPr="005A2E3E">
              <w:rPr>
                <w:rFonts w:ascii="Times New Roman" w:hAnsi="Times New Roman"/>
                <w:szCs w:val="21"/>
              </w:rPr>
              <w:t xml:space="preserve"> zł</w:t>
            </w:r>
            <w:r w:rsidR="00BD5F7C" w:rsidRPr="005A2E3E">
              <w:rPr>
                <w:rFonts w:ascii="Times New Roman" w:hAnsi="Times New Roman"/>
                <w:szCs w:val="21"/>
              </w:rPr>
              <w:t xml:space="preserve"> (bez wydatków relacjonowanych)</w:t>
            </w:r>
            <w:r w:rsidR="002B35D8">
              <w:rPr>
                <w:rFonts w:ascii="Times New Roman" w:hAnsi="Times New Roman"/>
                <w:szCs w:val="21"/>
              </w:rPr>
              <w:t>.</w:t>
            </w:r>
          </w:p>
          <w:p w:rsidR="002B35D8" w:rsidRDefault="002B578F" w:rsidP="00EB26D1">
            <w:pPr>
              <w:jc w:val="both"/>
              <w:rPr>
                <w:rFonts w:ascii="Times New Roman" w:hAnsi="Times New Roman"/>
                <w:szCs w:val="21"/>
              </w:rPr>
            </w:pPr>
            <w:r w:rsidRPr="005A2E3E">
              <w:rPr>
                <w:rFonts w:ascii="Times New Roman" w:hAnsi="Times New Roman"/>
                <w:szCs w:val="21"/>
              </w:rPr>
              <w:t>W wyniku wzrostu uposażeń policjantów wzrosną również wydatki relacjonowane, jak fundusz nagród i zapomóg</w:t>
            </w:r>
            <w:r w:rsidR="000F776F" w:rsidRPr="005A2E3E">
              <w:rPr>
                <w:rFonts w:ascii="Times New Roman" w:hAnsi="Times New Roman"/>
                <w:szCs w:val="21"/>
              </w:rPr>
              <w:t>,</w:t>
            </w:r>
            <w:r w:rsidRPr="005A2E3E">
              <w:rPr>
                <w:rFonts w:ascii="Times New Roman" w:hAnsi="Times New Roman"/>
                <w:szCs w:val="21"/>
              </w:rPr>
              <w:t xml:space="preserve"> czy pozostałe należności i świadczenia, których podstawą naliczenia jest</w:t>
            </w:r>
            <w:r w:rsidR="002B35D8">
              <w:rPr>
                <w:rFonts w:ascii="Times New Roman" w:hAnsi="Times New Roman"/>
                <w:szCs w:val="21"/>
              </w:rPr>
              <w:t xml:space="preserve"> wysokość należnego uposażenia.</w:t>
            </w:r>
          </w:p>
          <w:p w:rsidR="00EB26D1" w:rsidRPr="005A2E3E" w:rsidRDefault="00EB26D1" w:rsidP="00EB26D1">
            <w:pPr>
              <w:jc w:val="both"/>
              <w:rPr>
                <w:rFonts w:ascii="Times New Roman" w:hAnsi="Times New Roman"/>
                <w:szCs w:val="21"/>
              </w:rPr>
            </w:pPr>
            <w:r w:rsidRPr="005A2E3E">
              <w:rPr>
                <w:rFonts w:ascii="Times New Roman" w:hAnsi="Times New Roman"/>
                <w:szCs w:val="21"/>
              </w:rPr>
              <w:t>W 2024 r. nastąpi wzr</w:t>
            </w:r>
            <w:r w:rsidR="005D308F" w:rsidRPr="005A2E3E">
              <w:rPr>
                <w:rFonts w:ascii="Times New Roman" w:hAnsi="Times New Roman"/>
                <w:szCs w:val="21"/>
              </w:rPr>
              <w:t>ost wydatków</w:t>
            </w:r>
            <w:r w:rsidR="00BD5F7C" w:rsidRPr="005A2E3E">
              <w:rPr>
                <w:rFonts w:ascii="Times New Roman" w:hAnsi="Times New Roman"/>
                <w:szCs w:val="21"/>
              </w:rPr>
              <w:t xml:space="preserve"> z tytułu skutku przechodzącego </w:t>
            </w:r>
            <w:r w:rsidR="007B2EBF" w:rsidRPr="005A2E3E">
              <w:rPr>
                <w:rFonts w:ascii="Times New Roman" w:hAnsi="Times New Roman"/>
                <w:szCs w:val="21"/>
              </w:rPr>
              <w:t xml:space="preserve">z tytułu nagrody rocznej. </w:t>
            </w:r>
            <w:r w:rsidR="00DE4E30" w:rsidRPr="005A2E3E">
              <w:rPr>
                <w:rFonts w:ascii="Times New Roman" w:hAnsi="Times New Roman"/>
                <w:szCs w:val="21"/>
              </w:rPr>
              <w:t>Zgodnie</w:t>
            </w:r>
            <w:r w:rsidRPr="005A2E3E">
              <w:rPr>
                <w:rFonts w:ascii="Times New Roman" w:hAnsi="Times New Roman"/>
                <w:szCs w:val="21"/>
              </w:rPr>
              <w:t xml:space="preserve"> bowiem z art. 110 ustawy o Policji funkcjonariuszowi za służbę pełnioną w danym roku kalendarzowym przysługuje nagroda roczna w wysokości 1/12 uposażenia otrzymanego w roku kalendarzowym, za który nagroda przysługuje.</w:t>
            </w:r>
          </w:p>
          <w:p w:rsidR="003A673B" w:rsidRPr="005A2E3E" w:rsidRDefault="007B2EBF" w:rsidP="007B2EBF">
            <w:pPr>
              <w:jc w:val="both"/>
              <w:rPr>
                <w:rFonts w:ascii="Times New Roman" w:hAnsi="Times New Roman"/>
                <w:color w:val="FF0000"/>
                <w:szCs w:val="21"/>
              </w:rPr>
            </w:pPr>
            <w:r w:rsidRPr="005A2E3E">
              <w:rPr>
                <w:rFonts w:ascii="Times New Roman" w:hAnsi="Times New Roman"/>
                <w:bCs/>
              </w:rPr>
              <w:t xml:space="preserve">Na realizację podwyższenia uposażeń policjantów i wydatków relacjonowanych w 2023 r. budżet Policji, w tym zakresie został zwiększony o 7,8% i zabezpiecza wydatki w przeliczeniu na 12 miesięcy. </w:t>
            </w:r>
          </w:p>
        </w:tc>
      </w:tr>
      <w:tr w:rsidR="005970B5" w:rsidRPr="005A2E3E" w:rsidTr="007602B8">
        <w:trPr>
          <w:trHeight w:val="691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5A2E3E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5A2E3E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172C8A" w:rsidRPr="005A2E3E" w:rsidTr="007602B8">
        <w:trPr>
          <w:trHeight w:val="142"/>
        </w:trPr>
        <w:tc>
          <w:tcPr>
            <w:tcW w:w="3800" w:type="dxa"/>
            <w:gridSpan w:val="7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26" w:type="dxa"/>
            <w:gridSpan w:val="4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86" w:type="dxa"/>
            <w:gridSpan w:val="3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5A2E3E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5A2E3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172C8A" w:rsidRPr="005A2E3E" w:rsidTr="007602B8">
        <w:trPr>
          <w:trHeight w:val="142"/>
        </w:trPr>
        <w:tc>
          <w:tcPr>
            <w:tcW w:w="1555" w:type="dxa"/>
            <w:vMerge w:val="restart"/>
            <w:shd w:val="clear" w:color="auto" w:fill="FFFFFF"/>
          </w:tcPr>
          <w:p w:rsidR="005970B5" w:rsidRPr="005A2E3E" w:rsidRDefault="005970B5" w:rsidP="006F78C4">
            <w:pPr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:rsidR="005970B5" w:rsidRPr="005A2E3E" w:rsidRDefault="005970B5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5970B5" w:rsidRPr="005A2E3E" w:rsidRDefault="00A62CE8" w:rsidP="006F78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ceny stałe z 2022</w:t>
            </w:r>
            <w:r w:rsidR="005970B5" w:rsidRPr="005A2E3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6" w:type="dxa"/>
            <w:gridSpan w:val="4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86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172C8A" w:rsidRPr="005A2E3E" w:rsidTr="007602B8">
        <w:trPr>
          <w:trHeight w:val="142"/>
        </w:trPr>
        <w:tc>
          <w:tcPr>
            <w:tcW w:w="1555" w:type="dxa"/>
            <w:vMerge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6" w:type="dxa"/>
            <w:gridSpan w:val="4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86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BD5F7C" w:rsidRPr="005A2E3E" w:rsidTr="007602B8">
        <w:trPr>
          <w:trHeight w:val="142"/>
        </w:trPr>
        <w:tc>
          <w:tcPr>
            <w:tcW w:w="1555" w:type="dxa"/>
            <w:vMerge/>
            <w:shd w:val="clear" w:color="auto" w:fill="FFFFFF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gridSpan w:val="4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6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70B5" w:rsidRPr="005A2E3E" w:rsidTr="007602B8">
        <w:trPr>
          <w:trHeight w:val="142"/>
        </w:trPr>
        <w:tc>
          <w:tcPr>
            <w:tcW w:w="1555" w:type="dxa"/>
            <w:vMerge w:val="restart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5970B5" w:rsidRPr="005A2E3E" w:rsidRDefault="00214D9E" w:rsidP="00795C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970B5" w:rsidRPr="005A2E3E" w:rsidTr="007602B8">
        <w:trPr>
          <w:trHeight w:val="142"/>
        </w:trPr>
        <w:tc>
          <w:tcPr>
            <w:tcW w:w="1555" w:type="dxa"/>
            <w:vMerge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5B1AAE" w:rsidRPr="005A2E3E" w:rsidRDefault="0004469F" w:rsidP="009C0131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>Przedmiotowy projekt z uwagi na swój charakter nie zawiera regulacji dotyczących majątkowych praw i obowiązków przedsiębiorców lub praw</w:t>
            </w:r>
            <w:r w:rsidR="001B08DA" w:rsidRPr="005A2E3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1B08DA" w:rsidRPr="005A2E3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obowiązków przedsiębiorców wobec organów administracji publicznej,</w:t>
            </w:r>
            <w:r w:rsidR="001B08DA" w:rsidRPr="005A2E3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1B08DA" w:rsidRPr="005A2E3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zatem nie podlega obowiązkowi dokonania oceny przewidywanego wpływu proponowanych rozwiązań na działalność mikro</w:t>
            </w:r>
            <w:r w:rsidR="00744809" w:rsidRPr="005A2E3E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, małych i średnich przedsiębiorców, stosownie do przepisów ustawy z dnia 6 marca 2018 r.</w:t>
            </w:r>
            <w:r w:rsidR="001B08DA" w:rsidRPr="005A2E3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– Prawo przedsiębiorców</w:t>
            </w:r>
            <w:r w:rsidR="00693EBB" w:rsidRPr="005A2E3E">
              <w:rPr>
                <w:rFonts w:ascii="Times New Roman" w:hAnsi="Times New Roman"/>
                <w:color w:val="000000"/>
                <w:spacing w:val="-2"/>
              </w:rPr>
              <w:t xml:space="preserve"> (Dz. U. </w:t>
            </w:r>
            <w:r w:rsidR="008157C5" w:rsidRPr="005A2E3E">
              <w:rPr>
                <w:rFonts w:ascii="Times New Roman" w:hAnsi="Times New Roman"/>
                <w:color w:val="000000"/>
                <w:spacing w:val="-2"/>
              </w:rPr>
              <w:t>z 20</w:t>
            </w:r>
            <w:r w:rsidR="00B81F2E" w:rsidRPr="005A2E3E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="008157C5" w:rsidRPr="005A2E3E">
              <w:rPr>
                <w:rFonts w:ascii="Times New Roman" w:hAnsi="Times New Roman"/>
                <w:color w:val="000000"/>
                <w:spacing w:val="-2"/>
              </w:rPr>
              <w:t xml:space="preserve"> r. </w:t>
            </w:r>
            <w:r w:rsidR="00693EBB" w:rsidRPr="005A2E3E">
              <w:rPr>
                <w:rFonts w:ascii="Times New Roman" w:hAnsi="Times New Roman"/>
                <w:color w:val="000000"/>
                <w:spacing w:val="-2"/>
              </w:rPr>
              <w:t xml:space="preserve">poz. </w:t>
            </w:r>
            <w:r w:rsidR="008157C5" w:rsidRPr="005A2E3E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B81F2E" w:rsidRPr="005A2E3E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8157C5" w:rsidRPr="005A2E3E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693EBB" w:rsidRPr="005A2E3E">
              <w:rPr>
                <w:rFonts w:ascii="Times New Roman" w:hAnsi="Times New Roman"/>
                <w:color w:val="000000"/>
                <w:spacing w:val="-2"/>
              </w:rPr>
              <w:t>, z późn. zm.)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970B5" w:rsidRPr="005A2E3E" w:rsidTr="007602B8">
        <w:trPr>
          <w:trHeight w:val="596"/>
        </w:trPr>
        <w:tc>
          <w:tcPr>
            <w:tcW w:w="1555" w:type="dxa"/>
            <w:vMerge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5970B5" w:rsidRPr="005A2E3E" w:rsidRDefault="00214D9E" w:rsidP="00795C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970B5" w:rsidRPr="005A2E3E" w:rsidTr="007602B8">
        <w:trPr>
          <w:trHeight w:val="142"/>
        </w:trPr>
        <w:tc>
          <w:tcPr>
            <w:tcW w:w="1555" w:type="dxa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A2E3E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  <w:p w:rsidR="00757D76" w:rsidRPr="005A2E3E" w:rsidRDefault="00757D76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70B5" w:rsidRPr="005A2E3E" w:rsidTr="007602B8">
        <w:trPr>
          <w:trHeight w:val="1277"/>
        </w:trPr>
        <w:tc>
          <w:tcPr>
            <w:tcW w:w="2184" w:type="dxa"/>
            <w:gridSpan w:val="2"/>
            <w:shd w:val="clear" w:color="auto" w:fill="FFFFFF"/>
          </w:tcPr>
          <w:p w:rsidR="00757D76" w:rsidRPr="005A2E3E" w:rsidRDefault="005970B5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477" w:type="dxa"/>
            <w:gridSpan w:val="22"/>
            <w:shd w:val="clear" w:color="auto" w:fill="FFFFFF"/>
            <w:vAlign w:val="center"/>
          </w:tcPr>
          <w:p w:rsidR="00296C19" w:rsidRPr="005A2E3E" w:rsidRDefault="00E45C99" w:rsidP="009C0131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Nie przewiduje się</w:t>
            </w:r>
            <w:r w:rsidR="00097C5D" w:rsidRPr="005A2E3E">
              <w:rPr>
                <w:rFonts w:ascii="Times New Roman" w:hAnsi="Times New Roman"/>
              </w:rPr>
              <w:t xml:space="preserve"> wpływu </w:t>
            </w:r>
            <w:r w:rsidRPr="005A2E3E">
              <w:rPr>
                <w:rFonts w:ascii="Times New Roman" w:hAnsi="Times New Roman"/>
              </w:rPr>
              <w:t xml:space="preserve">projektowanej regulacji </w:t>
            </w:r>
            <w:r w:rsidR="00097C5D" w:rsidRPr="005A2E3E">
              <w:rPr>
                <w:rFonts w:ascii="Times New Roman" w:hAnsi="Times New Roman"/>
              </w:rPr>
              <w:t>na konkurencyjność gospodarki</w:t>
            </w:r>
            <w:r w:rsidR="00097C5D" w:rsidRPr="005A2E3E">
              <w:rPr>
                <w:rFonts w:ascii="Times New Roman" w:hAnsi="Times New Roman"/>
              </w:rPr>
              <w:br/>
              <w:t>i przedsiębiorczość, w tym na funkcjonowanie przedsiębiorców</w:t>
            </w:r>
            <w:r w:rsidR="00296C19" w:rsidRPr="005A2E3E">
              <w:rPr>
                <w:rFonts w:ascii="Times New Roman" w:hAnsi="Times New Roman"/>
              </w:rPr>
              <w:t>.</w:t>
            </w:r>
          </w:p>
          <w:p w:rsidR="005970B5" w:rsidRPr="005A2E3E" w:rsidRDefault="00296C19" w:rsidP="009C0131">
            <w:pPr>
              <w:spacing w:after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</w:rPr>
              <w:t>Projektowane rozwiązania wpłyną na sytuację ekonomiczną i społeczną policjantów oraz ich rodzin przez zwiększenie środków finansowych możliwych do przeznaczenia na ich utrzymanie. Mogą także wpłynąć na sytuację osób niepełnosprawnych i osób starszych, jeżeli są członkami rodzin policjantów.</w:t>
            </w:r>
          </w:p>
        </w:tc>
      </w:tr>
      <w:tr w:rsidR="005970B5" w:rsidRPr="005A2E3E" w:rsidTr="007602B8">
        <w:trPr>
          <w:trHeight w:val="342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5970B5" w:rsidRPr="005A2E3E" w:rsidRDefault="005970B5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5970B5" w:rsidRPr="005A2E3E" w:rsidTr="007602B8">
        <w:trPr>
          <w:trHeight w:val="151"/>
        </w:trPr>
        <w:tc>
          <w:tcPr>
            <w:tcW w:w="10661" w:type="dxa"/>
            <w:gridSpan w:val="24"/>
            <w:shd w:val="clear" w:color="auto" w:fill="FFFFFF"/>
          </w:tcPr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970B5" w:rsidRPr="005A2E3E" w:rsidTr="007602B8">
        <w:trPr>
          <w:trHeight w:val="946"/>
        </w:trPr>
        <w:tc>
          <w:tcPr>
            <w:tcW w:w="5006" w:type="dxa"/>
            <w:gridSpan w:val="11"/>
            <w:shd w:val="clear" w:color="auto" w:fill="FFFFFF"/>
          </w:tcPr>
          <w:p w:rsidR="005970B5" w:rsidRPr="005A2E3E" w:rsidRDefault="005970B5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A2E3E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655" w:type="dxa"/>
            <w:gridSpan w:val="13"/>
            <w:shd w:val="clear" w:color="auto" w:fill="FFFFFF"/>
          </w:tcPr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970B5" w:rsidRPr="005A2E3E" w:rsidRDefault="005970B5" w:rsidP="004F4E17">
            <w:pPr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970B5" w:rsidRPr="005A2E3E" w:rsidTr="007602B8">
        <w:trPr>
          <w:trHeight w:val="1245"/>
        </w:trPr>
        <w:tc>
          <w:tcPr>
            <w:tcW w:w="5006" w:type="dxa"/>
            <w:gridSpan w:val="11"/>
            <w:shd w:val="clear" w:color="auto" w:fill="FFFFFF"/>
          </w:tcPr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5970B5" w:rsidRPr="005A2E3E" w:rsidRDefault="005970B5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</w:rPr>
            </w:r>
            <w:r w:rsidRPr="005A2E3E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55" w:type="dxa"/>
            <w:gridSpan w:val="13"/>
            <w:shd w:val="clear" w:color="auto" w:fill="FFFFFF"/>
          </w:tcPr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</w:rPr>
            </w:r>
            <w:r w:rsidRPr="005A2E3E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5970B5" w:rsidRPr="005A2E3E" w:rsidTr="007602B8">
        <w:trPr>
          <w:trHeight w:val="870"/>
        </w:trPr>
        <w:tc>
          <w:tcPr>
            <w:tcW w:w="5006" w:type="dxa"/>
            <w:gridSpan w:val="11"/>
            <w:shd w:val="clear" w:color="auto" w:fill="FFFFFF"/>
          </w:tcPr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655" w:type="dxa"/>
            <w:gridSpan w:val="13"/>
            <w:shd w:val="clear" w:color="auto" w:fill="FFFFFF"/>
          </w:tcPr>
          <w:p w:rsidR="005970B5" w:rsidRPr="005A2E3E" w:rsidRDefault="005970B5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970B5" w:rsidRPr="005A2E3E" w:rsidRDefault="005970B5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A312CE" w:rsidRPr="005A2E3E" w:rsidRDefault="004357A8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 dotyczy </w:t>
            </w:r>
          </w:p>
        </w:tc>
      </w:tr>
      <w:tr w:rsidR="005970B5" w:rsidRPr="005A2E3E" w:rsidTr="007602B8">
        <w:trPr>
          <w:trHeight w:val="330"/>
        </w:trPr>
        <w:tc>
          <w:tcPr>
            <w:tcW w:w="10661" w:type="dxa"/>
            <w:gridSpan w:val="24"/>
            <w:shd w:val="clear" w:color="auto" w:fill="FFFFFF"/>
          </w:tcPr>
          <w:p w:rsidR="00757D76" w:rsidRPr="005A2E3E" w:rsidRDefault="005970B5" w:rsidP="00323BC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t>Komentarz:</w:t>
            </w:r>
            <w:r w:rsidR="004357A8"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="00F517F7" w:rsidRPr="005A2E3E">
              <w:rPr>
                <w:rFonts w:ascii="Times New Roman" w:hAnsi="Times New Roman"/>
                <w:color w:val="000000"/>
              </w:rPr>
              <w:t>Brak.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auto"/>
          </w:tcPr>
          <w:p w:rsidR="002B0B36" w:rsidRPr="005A2E3E" w:rsidRDefault="00E45C99" w:rsidP="005A2E3E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Nie przewiduje się </w:t>
            </w:r>
            <w:r w:rsidR="0022725D" w:rsidRPr="005A2E3E">
              <w:rPr>
                <w:rFonts w:ascii="Times New Roman" w:hAnsi="Times New Roman"/>
              </w:rPr>
              <w:t xml:space="preserve">znaczącego </w:t>
            </w:r>
            <w:r w:rsidRPr="005A2E3E">
              <w:rPr>
                <w:rFonts w:ascii="Times New Roman" w:hAnsi="Times New Roman"/>
              </w:rPr>
              <w:t>wpływu</w:t>
            </w:r>
            <w:r w:rsidR="005970B5" w:rsidRPr="005A2E3E">
              <w:rPr>
                <w:rFonts w:ascii="Times New Roman" w:hAnsi="Times New Roman"/>
              </w:rPr>
              <w:t xml:space="preserve"> </w:t>
            </w:r>
            <w:r w:rsidR="003F0AC3" w:rsidRPr="005A2E3E">
              <w:rPr>
                <w:rFonts w:ascii="Times New Roman" w:hAnsi="Times New Roman"/>
              </w:rPr>
              <w:t>projektowane</w:t>
            </w:r>
            <w:r w:rsidRPr="005A2E3E">
              <w:rPr>
                <w:rFonts w:ascii="Times New Roman" w:hAnsi="Times New Roman"/>
              </w:rPr>
              <w:t xml:space="preserve">j regulacji </w:t>
            </w:r>
            <w:r w:rsidR="00C96D6D" w:rsidRPr="005A2E3E">
              <w:rPr>
                <w:rFonts w:ascii="Times New Roman" w:hAnsi="Times New Roman"/>
              </w:rPr>
              <w:t>na rynek pracy</w:t>
            </w:r>
            <w:r w:rsidR="008841E1" w:rsidRPr="005A2E3E">
              <w:rPr>
                <w:rFonts w:ascii="Times New Roman" w:hAnsi="Times New Roman"/>
              </w:rPr>
              <w:t xml:space="preserve">, natomiast zakłada się, że jej wejście </w:t>
            </w:r>
            <w:r w:rsidR="00231B31" w:rsidRPr="005A2E3E">
              <w:rPr>
                <w:rFonts w:ascii="Times New Roman" w:hAnsi="Times New Roman"/>
              </w:rPr>
              <w:br/>
            </w:r>
            <w:r w:rsidR="008841E1" w:rsidRPr="005A2E3E">
              <w:rPr>
                <w:rFonts w:ascii="Times New Roman" w:hAnsi="Times New Roman"/>
              </w:rPr>
              <w:t>w życie wpłynie na wzmocnienie atrakcyjności pełnienia służby w wymienionych jednostkach organizacyjnych Policji.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970B5" w:rsidRPr="005A2E3E" w:rsidTr="007602B8">
        <w:trPr>
          <w:trHeight w:val="1031"/>
        </w:trPr>
        <w:tc>
          <w:tcPr>
            <w:tcW w:w="3462" w:type="dxa"/>
            <w:gridSpan w:val="5"/>
            <w:shd w:val="clear" w:color="auto" w:fill="FFFFFF"/>
          </w:tcPr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70B5" w:rsidRPr="005A2E3E" w:rsidRDefault="00544945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="005970B5" w:rsidRPr="005A2E3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757D76" w:rsidRPr="005A2E3E" w:rsidRDefault="00EB1A54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</w:tc>
        <w:tc>
          <w:tcPr>
            <w:tcW w:w="3513" w:type="dxa"/>
            <w:gridSpan w:val="12"/>
            <w:shd w:val="clear" w:color="auto" w:fill="FFFFFF"/>
          </w:tcPr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t>mienie państwowe</w:t>
            </w:r>
          </w:p>
          <w:p w:rsidR="00EB1A54" w:rsidRPr="005A2E3E" w:rsidRDefault="008841E1" w:rsidP="00EB1A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="00EB1A54" w:rsidRPr="005A2E3E">
              <w:rPr>
                <w:rFonts w:ascii="Times New Roman" w:hAnsi="Times New Roman"/>
                <w:color w:val="000000"/>
              </w:rPr>
              <w:t xml:space="preserve"> inne: </w:t>
            </w: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bezpieczeństwo"/>
                  </w:textInput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</w:rPr>
            </w:r>
            <w:r w:rsidRPr="005A2E3E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noProof/>
                <w:color w:val="000000"/>
              </w:rPr>
              <w:t>bezpieczeństwo</w:t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</w:p>
          <w:p w:rsidR="00EB1A54" w:rsidRPr="005A2E3E" w:rsidRDefault="00EB1A54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gridSpan w:val="7"/>
            <w:shd w:val="clear" w:color="auto" w:fill="FFFFFF"/>
          </w:tcPr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D2782">
              <w:rPr>
                <w:rFonts w:ascii="Times New Roman" w:hAnsi="Times New Roman"/>
                <w:color w:val="000000"/>
              </w:rPr>
            </w:r>
            <w:r w:rsidR="007D2782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970B5" w:rsidRPr="005A2E3E" w:rsidTr="007602B8">
        <w:trPr>
          <w:trHeight w:val="486"/>
        </w:trPr>
        <w:tc>
          <w:tcPr>
            <w:tcW w:w="2184" w:type="dxa"/>
            <w:gridSpan w:val="2"/>
            <w:shd w:val="clear" w:color="auto" w:fill="FFFFFF"/>
            <w:vAlign w:val="center"/>
          </w:tcPr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77" w:type="dxa"/>
            <w:gridSpan w:val="22"/>
            <w:shd w:val="clear" w:color="auto" w:fill="FFFFFF"/>
            <w:vAlign w:val="center"/>
          </w:tcPr>
          <w:p w:rsidR="00544945" w:rsidRPr="005A2E3E" w:rsidRDefault="00C603FD" w:rsidP="003E4088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5A2E3E">
              <w:rPr>
                <w:rFonts w:ascii="Times New Roman" w:hAnsi="Times New Roman"/>
                <w:lang w:eastAsia="pl-PL"/>
              </w:rPr>
              <w:t xml:space="preserve">Zakłada się, że </w:t>
            </w:r>
            <w:r w:rsidR="003847C5" w:rsidRPr="005A2E3E">
              <w:rPr>
                <w:rFonts w:ascii="Times New Roman" w:hAnsi="Times New Roman"/>
                <w:lang w:eastAsia="pl-PL"/>
              </w:rPr>
              <w:t xml:space="preserve">ustanowienie </w:t>
            </w:r>
            <w:bookmarkStart w:id="3" w:name="_GoBack"/>
            <w:bookmarkEnd w:id="3"/>
            <w:r w:rsidR="003847C5" w:rsidRPr="005A2E3E">
              <w:rPr>
                <w:rFonts w:ascii="Times New Roman" w:hAnsi="Times New Roman"/>
                <w:lang w:eastAsia="pl-PL"/>
              </w:rPr>
              <w:t>nowych stawek uposażenia zasadniczego wyrażonych w posta</w:t>
            </w:r>
            <w:r w:rsidR="000F776F" w:rsidRPr="005A2E3E">
              <w:rPr>
                <w:rFonts w:ascii="Times New Roman" w:hAnsi="Times New Roman"/>
                <w:lang w:eastAsia="pl-PL"/>
              </w:rPr>
              <w:t>ci</w:t>
            </w:r>
            <w:r w:rsidR="003847C5" w:rsidRPr="005A2E3E">
              <w:rPr>
                <w:rFonts w:ascii="Times New Roman" w:hAnsi="Times New Roman"/>
                <w:lang w:eastAsia="pl-PL"/>
              </w:rPr>
              <w:t xml:space="preserve"> mnożników kwoty bazowej</w:t>
            </w:r>
            <w:r w:rsidR="000963CA" w:rsidRPr="005A2E3E">
              <w:rPr>
                <w:rFonts w:ascii="Times New Roman" w:hAnsi="Times New Roman"/>
                <w:lang w:eastAsia="pl-PL"/>
              </w:rPr>
              <w:t>,</w:t>
            </w:r>
            <w:r w:rsidR="00E87343" w:rsidRPr="005A2E3E">
              <w:rPr>
                <w:rFonts w:ascii="Times New Roman" w:hAnsi="Times New Roman"/>
                <w:lang w:eastAsia="pl-PL"/>
              </w:rPr>
              <w:t xml:space="preserve"> </w:t>
            </w:r>
            <w:r w:rsidRPr="005A2E3E">
              <w:rPr>
                <w:rFonts w:ascii="Times New Roman" w:hAnsi="Times New Roman"/>
                <w:lang w:eastAsia="pl-PL"/>
              </w:rPr>
              <w:t>wpłynie na wzmocnienie</w:t>
            </w:r>
            <w:r w:rsidR="00E87343" w:rsidRPr="005A2E3E">
              <w:rPr>
                <w:rFonts w:ascii="Times New Roman" w:hAnsi="Times New Roman"/>
                <w:lang w:eastAsia="pl-PL"/>
              </w:rPr>
              <w:t xml:space="preserve"> atrakcyjności pełnienia służby </w:t>
            </w:r>
            <w:r w:rsidRPr="005A2E3E">
              <w:rPr>
                <w:rFonts w:ascii="Times New Roman" w:hAnsi="Times New Roman"/>
                <w:lang w:eastAsia="pl-PL"/>
              </w:rPr>
              <w:t xml:space="preserve">w </w:t>
            </w:r>
            <w:r w:rsidR="00EE587E" w:rsidRPr="005A2E3E">
              <w:rPr>
                <w:rFonts w:ascii="Times New Roman" w:hAnsi="Times New Roman"/>
                <w:lang w:eastAsia="pl-PL"/>
              </w:rPr>
              <w:t>Policji. Zakłada się, że wejście w życie regulacji</w:t>
            </w:r>
            <w:r w:rsidRPr="005A2E3E">
              <w:rPr>
                <w:rFonts w:ascii="Times New Roman" w:hAnsi="Times New Roman"/>
                <w:lang w:eastAsia="pl-PL"/>
              </w:rPr>
              <w:t xml:space="preserve"> </w:t>
            </w:r>
            <w:r w:rsidR="00EE587E" w:rsidRPr="005A2E3E">
              <w:rPr>
                <w:rFonts w:ascii="Times New Roman" w:hAnsi="Times New Roman"/>
                <w:lang w:eastAsia="pl-PL"/>
              </w:rPr>
              <w:t xml:space="preserve">przyczyni się do </w:t>
            </w:r>
            <w:r w:rsidRPr="005A2E3E">
              <w:rPr>
                <w:rFonts w:ascii="Times New Roman" w:hAnsi="Times New Roman"/>
                <w:lang w:eastAsia="pl-PL"/>
              </w:rPr>
              <w:t>zmn</w:t>
            </w:r>
            <w:r w:rsidR="005203E4" w:rsidRPr="005A2E3E">
              <w:rPr>
                <w:rFonts w:ascii="Times New Roman" w:hAnsi="Times New Roman"/>
                <w:lang w:eastAsia="pl-PL"/>
              </w:rPr>
              <w:t xml:space="preserve">iejszenia </w:t>
            </w:r>
            <w:r w:rsidR="00EE587E" w:rsidRPr="005A2E3E">
              <w:rPr>
                <w:rFonts w:ascii="Times New Roman" w:hAnsi="Times New Roman"/>
                <w:lang w:eastAsia="pl-PL"/>
              </w:rPr>
              <w:t xml:space="preserve">liczby wakatów </w:t>
            </w:r>
            <w:r w:rsidR="003847C5" w:rsidRPr="005A2E3E">
              <w:rPr>
                <w:rFonts w:ascii="Times New Roman" w:hAnsi="Times New Roman"/>
                <w:lang w:eastAsia="pl-PL"/>
              </w:rPr>
              <w:br/>
            </w:r>
            <w:r w:rsidR="000963CA" w:rsidRPr="005A2E3E">
              <w:rPr>
                <w:rFonts w:ascii="Times New Roman" w:hAnsi="Times New Roman"/>
                <w:lang w:eastAsia="pl-PL"/>
              </w:rPr>
              <w:t xml:space="preserve">w jednostkach organizacyjnych Policji </w:t>
            </w:r>
            <w:r w:rsidR="00EE587E" w:rsidRPr="005A2E3E">
              <w:rPr>
                <w:rFonts w:ascii="Times New Roman" w:hAnsi="Times New Roman"/>
                <w:lang w:eastAsia="pl-PL"/>
              </w:rPr>
              <w:t>oraz</w:t>
            </w:r>
            <w:r w:rsidRPr="005A2E3E">
              <w:rPr>
                <w:rFonts w:ascii="Times New Roman" w:hAnsi="Times New Roman"/>
                <w:lang w:eastAsia="pl-PL"/>
              </w:rPr>
              <w:t xml:space="preserve"> </w:t>
            </w:r>
            <w:r w:rsidR="00EE587E" w:rsidRPr="005A2E3E">
              <w:rPr>
                <w:rFonts w:ascii="Times New Roman" w:hAnsi="Times New Roman"/>
                <w:bCs/>
                <w:lang w:eastAsia="pl-PL"/>
              </w:rPr>
              <w:t>zachęci funkcjonariuszy do kontynuowania służby w Policji</w:t>
            </w:r>
            <w:r w:rsidR="00EE587E" w:rsidRPr="005A2E3E">
              <w:rPr>
                <w:rFonts w:ascii="Times New Roman" w:hAnsi="Times New Roman"/>
                <w:lang w:eastAsia="pl-PL"/>
              </w:rPr>
              <w:t xml:space="preserve">, co </w:t>
            </w:r>
            <w:r w:rsidRPr="005A2E3E">
              <w:rPr>
                <w:rFonts w:ascii="Times New Roman" w:hAnsi="Times New Roman"/>
                <w:lang w:eastAsia="pl-PL"/>
              </w:rPr>
              <w:t>będzie miało pozytyw</w:t>
            </w:r>
            <w:r w:rsidR="00EE587E" w:rsidRPr="005A2E3E">
              <w:rPr>
                <w:rFonts w:ascii="Times New Roman" w:hAnsi="Times New Roman"/>
                <w:lang w:eastAsia="pl-PL"/>
              </w:rPr>
              <w:t>ny wpływ na stan bezpieczeństwa.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2B0B36" w:rsidRPr="005A2E3E" w:rsidRDefault="00C11654" w:rsidP="00F63E1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  <w:lang w:eastAsia="pl-PL"/>
              </w:rPr>
            </w:pPr>
            <w:r w:rsidRPr="005A2E3E">
              <w:rPr>
                <w:rFonts w:ascii="Times New Roman" w:hAnsi="Times New Roman"/>
                <w:spacing w:val="-2"/>
                <w:lang w:eastAsia="pl-PL"/>
              </w:rPr>
              <w:t>Planuje się, że r</w:t>
            </w:r>
            <w:r w:rsidR="00F63E1D" w:rsidRPr="005A2E3E">
              <w:rPr>
                <w:rFonts w:ascii="Times New Roman" w:hAnsi="Times New Roman"/>
                <w:spacing w:val="-2"/>
                <w:lang w:eastAsia="pl-PL"/>
              </w:rPr>
              <w:t>ozporządzenie wejdzie w życie z dniem 1 marca 2023 roku.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970B5" w:rsidRPr="005A2E3E" w:rsidTr="007602B8">
        <w:trPr>
          <w:trHeight w:val="238"/>
        </w:trPr>
        <w:tc>
          <w:tcPr>
            <w:tcW w:w="10661" w:type="dxa"/>
            <w:gridSpan w:val="24"/>
            <w:shd w:val="clear" w:color="auto" w:fill="FFFFFF"/>
          </w:tcPr>
          <w:p w:rsidR="002B0B36" w:rsidRPr="005A2E3E" w:rsidRDefault="008041C8" w:rsidP="009C0131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>Ze względu na charakter wprowadzanej regulacji nie jest planowana ewaluacja efektów projektu, a tym samym nie przewiduje się stosowania mierników ewaluacji.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5A2E3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5A2E3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2B0B36" w:rsidRPr="005A2E3E" w:rsidRDefault="006D0CBD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Brak</w:t>
            </w:r>
            <w:r w:rsidR="005F0198" w:rsidRPr="005A2E3E">
              <w:rPr>
                <w:rFonts w:ascii="Times New Roman" w:hAnsi="Times New Roman"/>
                <w:spacing w:val="-2"/>
              </w:rPr>
              <w:t>.</w:t>
            </w:r>
          </w:p>
        </w:tc>
      </w:tr>
    </w:tbl>
    <w:p w:rsidR="006176ED" w:rsidRPr="005A2E3E" w:rsidRDefault="006176ED" w:rsidP="001B08DA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A2E3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82" w:rsidRDefault="007D2782" w:rsidP="00044739">
      <w:pPr>
        <w:spacing w:line="240" w:lineRule="auto"/>
      </w:pPr>
      <w:r>
        <w:separator/>
      </w:r>
    </w:p>
  </w:endnote>
  <w:endnote w:type="continuationSeparator" w:id="0">
    <w:p w:rsidR="007D2782" w:rsidRDefault="007D278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82" w:rsidRDefault="007D2782" w:rsidP="00044739">
      <w:pPr>
        <w:spacing w:line="240" w:lineRule="auto"/>
      </w:pPr>
      <w:r>
        <w:separator/>
      </w:r>
    </w:p>
  </w:footnote>
  <w:footnote w:type="continuationSeparator" w:id="0">
    <w:p w:rsidR="007D2782" w:rsidRDefault="007D278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5B6F64"/>
    <w:multiLevelType w:val="hybridMultilevel"/>
    <w:tmpl w:val="1F7E8E8E"/>
    <w:lvl w:ilvl="0" w:tplc="BDD0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A30490"/>
    <w:multiLevelType w:val="hybridMultilevel"/>
    <w:tmpl w:val="61EABC2A"/>
    <w:lvl w:ilvl="0" w:tplc="41301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D53EA3"/>
    <w:multiLevelType w:val="hybridMultilevel"/>
    <w:tmpl w:val="1D3C1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20"/>
  </w:num>
  <w:num w:numId="15">
    <w:abstractNumId w:val="15"/>
  </w:num>
  <w:num w:numId="16">
    <w:abstractNumId w:val="18"/>
  </w:num>
  <w:num w:numId="17">
    <w:abstractNumId w:val="5"/>
  </w:num>
  <w:num w:numId="18">
    <w:abstractNumId w:val="21"/>
  </w:num>
  <w:num w:numId="19">
    <w:abstractNumId w:val="23"/>
  </w:num>
  <w:num w:numId="20">
    <w:abstractNumId w:val="17"/>
  </w:num>
  <w:num w:numId="21">
    <w:abstractNumId w:val="6"/>
  </w:num>
  <w:num w:numId="22">
    <w:abstractNumId w:val="16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570"/>
    <w:rsid w:val="000008E5"/>
    <w:rsid w:val="000012A4"/>
    <w:rsid w:val="000015EE"/>
    <w:rsid w:val="000022D5"/>
    <w:rsid w:val="00003DC5"/>
    <w:rsid w:val="00003DF4"/>
    <w:rsid w:val="00004C6A"/>
    <w:rsid w:val="000107C7"/>
    <w:rsid w:val="0001239B"/>
    <w:rsid w:val="00012D11"/>
    <w:rsid w:val="00013717"/>
    <w:rsid w:val="00013EB5"/>
    <w:rsid w:val="00014CED"/>
    <w:rsid w:val="000222F4"/>
    <w:rsid w:val="0002241B"/>
    <w:rsid w:val="00023836"/>
    <w:rsid w:val="000275BF"/>
    <w:rsid w:val="000356A9"/>
    <w:rsid w:val="00040AAB"/>
    <w:rsid w:val="00044138"/>
    <w:rsid w:val="0004469F"/>
    <w:rsid w:val="00044739"/>
    <w:rsid w:val="00051637"/>
    <w:rsid w:val="00054499"/>
    <w:rsid w:val="00054D1D"/>
    <w:rsid w:val="00056681"/>
    <w:rsid w:val="00057648"/>
    <w:rsid w:val="00057C20"/>
    <w:rsid w:val="0006182E"/>
    <w:rsid w:val="000621F1"/>
    <w:rsid w:val="0006432F"/>
    <w:rsid w:val="000648A7"/>
    <w:rsid w:val="0006540A"/>
    <w:rsid w:val="00065CE9"/>
    <w:rsid w:val="0006618B"/>
    <w:rsid w:val="000670C0"/>
    <w:rsid w:val="00070D31"/>
    <w:rsid w:val="00071B99"/>
    <w:rsid w:val="000730E7"/>
    <w:rsid w:val="000731EC"/>
    <w:rsid w:val="000753A5"/>
    <w:rsid w:val="000756E5"/>
    <w:rsid w:val="0007601E"/>
    <w:rsid w:val="0007704E"/>
    <w:rsid w:val="00080EC8"/>
    <w:rsid w:val="000822EB"/>
    <w:rsid w:val="00083EA7"/>
    <w:rsid w:val="00086994"/>
    <w:rsid w:val="00086BD0"/>
    <w:rsid w:val="00087775"/>
    <w:rsid w:val="00091820"/>
    <w:rsid w:val="000926A7"/>
    <w:rsid w:val="00092CD2"/>
    <w:rsid w:val="00093752"/>
    <w:rsid w:val="000944AC"/>
    <w:rsid w:val="00094CB9"/>
    <w:rsid w:val="000956B2"/>
    <w:rsid w:val="000963CA"/>
    <w:rsid w:val="000969E7"/>
    <w:rsid w:val="00097C5D"/>
    <w:rsid w:val="000A0A9A"/>
    <w:rsid w:val="000A23DE"/>
    <w:rsid w:val="000A4020"/>
    <w:rsid w:val="000A45D1"/>
    <w:rsid w:val="000A7887"/>
    <w:rsid w:val="000A7A53"/>
    <w:rsid w:val="000B07A3"/>
    <w:rsid w:val="000B2B21"/>
    <w:rsid w:val="000B2D50"/>
    <w:rsid w:val="000B2D88"/>
    <w:rsid w:val="000B355D"/>
    <w:rsid w:val="000B3A5C"/>
    <w:rsid w:val="000B4621"/>
    <w:rsid w:val="000B4AA3"/>
    <w:rsid w:val="000B54FB"/>
    <w:rsid w:val="000B5C1E"/>
    <w:rsid w:val="000B637E"/>
    <w:rsid w:val="000B7ACC"/>
    <w:rsid w:val="000C29B0"/>
    <w:rsid w:val="000C50C8"/>
    <w:rsid w:val="000C76FC"/>
    <w:rsid w:val="000D156C"/>
    <w:rsid w:val="000D1E01"/>
    <w:rsid w:val="000D38FC"/>
    <w:rsid w:val="000D3FA6"/>
    <w:rsid w:val="000D4D90"/>
    <w:rsid w:val="000E2D10"/>
    <w:rsid w:val="000E4183"/>
    <w:rsid w:val="000E5E1C"/>
    <w:rsid w:val="000F3204"/>
    <w:rsid w:val="000F3FF5"/>
    <w:rsid w:val="000F571E"/>
    <w:rsid w:val="000F59DE"/>
    <w:rsid w:val="000F6C0A"/>
    <w:rsid w:val="000F776F"/>
    <w:rsid w:val="000F7FFB"/>
    <w:rsid w:val="0010080E"/>
    <w:rsid w:val="001014F2"/>
    <w:rsid w:val="0010548B"/>
    <w:rsid w:val="00106BF4"/>
    <w:rsid w:val="001072D1"/>
    <w:rsid w:val="001117F6"/>
    <w:rsid w:val="0011484E"/>
    <w:rsid w:val="00117017"/>
    <w:rsid w:val="00117032"/>
    <w:rsid w:val="00122314"/>
    <w:rsid w:val="001230AB"/>
    <w:rsid w:val="00123A0D"/>
    <w:rsid w:val="001249F9"/>
    <w:rsid w:val="00127061"/>
    <w:rsid w:val="00130E8E"/>
    <w:rsid w:val="0013216E"/>
    <w:rsid w:val="00134801"/>
    <w:rsid w:val="00134A0F"/>
    <w:rsid w:val="001401B5"/>
    <w:rsid w:val="0014075D"/>
    <w:rsid w:val="00141C91"/>
    <w:rsid w:val="001422B9"/>
    <w:rsid w:val="001428EB"/>
    <w:rsid w:val="0014642D"/>
    <w:rsid w:val="0014665F"/>
    <w:rsid w:val="00152ED5"/>
    <w:rsid w:val="00153464"/>
    <w:rsid w:val="001541B3"/>
    <w:rsid w:val="00155506"/>
    <w:rsid w:val="00155B15"/>
    <w:rsid w:val="001578DF"/>
    <w:rsid w:val="001625BE"/>
    <w:rsid w:val="00163232"/>
    <w:rsid w:val="001643A4"/>
    <w:rsid w:val="00164BFD"/>
    <w:rsid w:val="00164C21"/>
    <w:rsid w:val="0016543F"/>
    <w:rsid w:val="001724FA"/>
    <w:rsid w:val="001727BB"/>
    <w:rsid w:val="0017284D"/>
    <w:rsid w:val="00172C8A"/>
    <w:rsid w:val="001740F9"/>
    <w:rsid w:val="00175761"/>
    <w:rsid w:val="00177FBA"/>
    <w:rsid w:val="00180CF9"/>
    <w:rsid w:val="00180D25"/>
    <w:rsid w:val="0018318D"/>
    <w:rsid w:val="00183DD2"/>
    <w:rsid w:val="00184F0D"/>
    <w:rsid w:val="0018572C"/>
    <w:rsid w:val="00187E79"/>
    <w:rsid w:val="00187F0D"/>
    <w:rsid w:val="00192CC5"/>
    <w:rsid w:val="0019302A"/>
    <w:rsid w:val="001949EA"/>
    <w:rsid w:val="001956A7"/>
    <w:rsid w:val="00196E85"/>
    <w:rsid w:val="001A118A"/>
    <w:rsid w:val="001A1280"/>
    <w:rsid w:val="001A27F4"/>
    <w:rsid w:val="001A2D95"/>
    <w:rsid w:val="001A4F20"/>
    <w:rsid w:val="001A6B2E"/>
    <w:rsid w:val="001A7A5F"/>
    <w:rsid w:val="001A7A9E"/>
    <w:rsid w:val="001B08DA"/>
    <w:rsid w:val="001B3460"/>
    <w:rsid w:val="001B38AD"/>
    <w:rsid w:val="001B4447"/>
    <w:rsid w:val="001B4CA1"/>
    <w:rsid w:val="001B75D8"/>
    <w:rsid w:val="001C1060"/>
    <w:rsid w:val="001C272B"/>
    <w:rsid w:val="001C3C63"/>
    <w:rsid w:val="001C540E"/>
    <w:rsid w:val="001D1D62"/>
    <w:rsid w:val="001D4732"/>
    <w:rsid w:val="001D5473"/>
    <w:rsid w:val="001D6A3C"/>
    <w:rsid w:val="001D6D51"/>
    <w:rsid w:val="001D7D70"/>
    <w:rsid w:val="001D7DEF"/>
    <w:rsid w:val="001E0DFD"/>
    <w:rsid w:val="001E3FEA"/>
    <w:rsid w:val="001E401B"/>
    <w:rsid w:val="001E53E2"/>
    <w:rsid w:val="001E6520"/>
    <w:rsid w:val="001F3A2D"/>
    <w:rsid w:val="001F653A"/>
    <w:rsid w:val="001F6979"/>
    <w:rsid w:val="00200F0C"/>
    <w:rsid w:val="00201AAD"/>
    <w:rsid w:val="00202BC6"/>
    <w:rsid w:val="002033EF"/>
    <w:rsid w:val="002033F1"/>
    <w:rsid w:val="00205141"/>
    <w:rsid w:val="0020516B"/>
    <w:rsid w:val="002052BB"/>
    <w:rsid w:val="00206FF3"/>
    <w:rsid w:val="00207459"/>
    <w:rsid w:val="00207922"/>
    <w:rsid w:val="00213559"/>
    <w:rsid w:val="00213EFD"/>
    <w:rsid w:val="00214D9E"/>
    <w:rsid w:val="00215BA0"/>
    <w:rsid w:val="002172F1"/>
    <w:rsid w:val="00220443"/>
    <w:rsid w:val="002235FD"/>
    <w:rsid w:val="00223C7B"/>
    <w:rsid w:val="00224AB1"/>
    <w:rsid w:val="0022687A"/>
    <w:rsid w:val="00226C25"/>
    <w:rsid w:val="0022725D"/>
    <w:rsid w:val="00230728"/>
    <w:rsid w:val="002311F4"/>
    <w:rsid w:val="0023169B"/>
    <w:rsid w:val="00231B31"/>
    <w:rsid w:val="00234040"/>
    <w:rsid w:val="00235CD2"/>
    <w:rsid w:val="0024161D"/>
    <w:rsid w:val="00243052"/>
    <w:rsid w:val="0024616D"/>
    <w:rsid w:val="002478DD"/>
    <w:rsid w:val="00251A7E"/>
    <w:rsid w:val="00251A8E"/>
    <w:rsid w:val="00251E03"/>
    <w:rsid w:val="00254DED"/>
    <w:rsid w:val="00255619"/>
    <w:rsid w:val="00255DAD"/>
    <w:rsid w:val="0025607D"/>
    <w:rsid w:val="00256108"/>
    <w:rsid w:val="00260F33"/>
    <w:rsid w:val="002613BD"/>
    <w:rsid w:val="0026221F"/>
    <w:rsid w:val="002622C3"/>
    <w:rsid w:val="002624F1"/>
    <w:rsid w:val="00270B66"/>
    <w:rsid w:val="00270C81"/>
    <w:rsid w:val="00271558"/>
    <w:rsid w:val="002724BE"/>
    <w:rsid w:val="002724E0"/>
    <w:rsid w:val="002729CB"/>
    <w:rsid w:val="00274862"/>
    <w:rsid w:val="00274959"/>
    <w:rsid w:val="002759AB"/>
    <w:rsid w:val="0028256B"/>
    <w:rsid w:val="00282D72"/>
    <w:rsid w:val="002830D2"/>
    <w:rsid w:val="00283402"/>
    <w:rsid w:val="00290FD6"/>
    <w:rsid w:val="00291542"/>
    <w:rsid w:val="0029169F"/>
    <w:rsid w:val="00291716"/>
    <w:rsid w:val="00291D04"/>
    <w:rsid w:val="002934BA"/>
    <w:rsid w:val="00294259"/>
    <w:rsid w:val="00296C19"/>
    <w:rsid w:val="002A1554"/>
    <w:rsid w:val="002A1DBD"/>
    <w:rsid w:val="002A2C81"/>
    <w:rsid w:val="002A2E38"/>
    <w:rsid w:val="002A3647"/>
    <w:rsid w:val="002B0B36"/>
    <w:rsid w:val="002B35D8"/>
    <w:rsid w:val="002B3D1A"/>
    <w:rsid w:val="002B578F"/>
    <w:rsid w:val="002B6C10"/>
    <w:rsid w:val="002C0315"/>
    <w:rsid w:val="002C1536"/>
    <w:rsid w:val="002C27D0"/>
    <w:rsid w:val="002C2C9B"/>
    <w:rsid w:val="002C6CFF"/>
    <w:rsid w:val="002D0FFF"/>
    <w:rsid w:val="002D17D6"/>
    <w:rsid w:val="002D18D7"/>
    <w:rsid w:val="002D21CE"/>
    <w:rsid w:val="002D3C50"/>
    <w:rsid w:val="002E1954"/>
    <w:rsid w:val="002E3DA3"/>
    <w:rsid w:val="002E450F"/>
    <w:rsid w:val="002E6B38"/>
    <w:rsid w:val="002E6D63"/>
    <w:rsid w:val="002E6E2B"/>
    <w:rsid w:val="002F1DA1"/>
    <w:rsid w:val="002F2392"/>
    <w:rsid w:val="002F4D1A"/>
    <w:rsid w:val="002F500B"/>
    <w:rsid w:val="002F6331"/>
    <w:rsid w:val="00300991"/>
    <w:rsid w:val="00301959"/>
    <w:rsid w:val="0030285A"/>
    <w:rsid w:val="00305B8A"/>
    <w:rsid w:val="003124B0"/>
    <w:rsid w:val="00322F27"/>
    <w:rsid w:val="00323BC0"/>
    <w:rsid w:val="0032524D"/>
    <w:rsid w:val="003260FF"/>
    <w:rsid w:val="003272AD"/>
    <w:rsid w:val="003319D0"/>
    <w:rsid w:val="00331BF9"/>
    <w:rsid w:val="0033495E"/>
    <w:rsid w:val="00334A79"/>
    <w:rsid w:val="00334B2C"/>
    <w:rsid w:val="00334D8D"/>
    <w:rsid w:val="00337345"/>
    <w:rsid w:val="00337DD2"/>
    <w:rsid w:val="003404D1"/>
    <w:rsid w:val="0034314D"/>
    <w:rsid w:val="00343D74"/>
    <w:rsid w:val="00344320"/>
    <w:rsid w:val="003443FF"/>
    <w:rsid w:val="003468BB"/>
    <w:rsid w:val="00353B6C"/>
    <w:rsid w:val="00355808"/>
    <w:rsid w:val="0035647B"/>
    <w:rsid w:val="0036099F"/>
    <w:rsid w:val="00360F4F"/>
    <w:rsid w:val="0036290D"/>
    <w:rsid w:val="00362C7E"/>
    <w:rsid w:val="0036302C"/>
    <w:rsid w:val="00363309"/>
    <w:rsid w:val="00363601"/>
    <w:rsid w:val="00367885"/>
    <w:rsid w:val="003719FC"/>
    <w:rsid w:val="00372362"/>
    <w:rsid w:val="0037353F"/>
    <w:rsid w:val="00374368"/>
    <w:rsid w:val="00375FAA"/>
    <w:rsid w:val="00376AC9"/>
    <w:rsid w:val="00377B87"/>
    <w:rsid w:val="00381047"/>
    <w:rsid w:val="00381A59"/>
    <w:rsid w:val="003847C5"/>
    <w:rsid w:val="00386F0F"/>
    <w:rsid w:val="00386F32"/>
    <w:rsid w:val="00390988"/>
    <w:rsid w:val="00391502"/>
    <w:rsid w:val="00393032"/>
    <w:rsid w:val="00394B69"/>
    <w:rsid w:val="00396B09"/>
    <w:rsid w:val="00397078"/>
    <w:rsid w:val="003A0F30"/>
    <w:rsid w:val="003A673B"/>
    <w:rsid w:val="003A6953"/>
    <w:rsid w:val="003A73D3"/>
    <w:rsid w:val="003A74D3"/>
    <w:rsid w:val="003B1AB6"/>
    <w:rsid w:val="003B362E"/>
    <w:rsid w:val="003B57A6"/>
    <w:rsid w:val="003B6083"/>
    <w:rsid w:val="003B6A5F"/>
    <w:rsid w:val="003B791E"/>
    <w:rsid w:val="003B7F82"/>
    <w:rsid w:val="003C10A1"/>
    <w:rsid w:val="003C3838"/>
    <w:rsid w:val="003C41C9"/>
    <w:rsid w:val="003C5847"/>
    <w:rsid w:val="003C5BBF"/>
    <w:rsid w:val="003C6ADE"/>
    <w:rsid w:val="003D0681"/>
    <w:rsid w:val="003D0DC0"/>
    <w:rsid w:val="003D0E5A"/>
    <w:rsid w:val="003D12F6"/>
    <w:rsid w:val="003D1426"/>
    <w:rsid w:val="003D1CA1"/>
    <w:rsid w:val="003D363B"/>
    <w:rsid w:val="003D7203"/>
    <w:rsid w:val="003D7B7C"/>
    <w:rsid w:val="003E2F4E"/>
    <w:rsid w:val="003E4088"/>
    <w:rsid w:val="003E720A"/>
    <w:rsid w:val="003F0AC3"/>
    <w:rsid w:val="003F2705"/>
    <w:rsid w:val="003F28A5"/>
    <w:rsid w:val="003F2A25"/>
    <w:rsid w:val="003F5925"/>
    <w:rsid w:val="003F6895"/>
    <w:rsid w:val="00402371"/>
    <w:rsid w:val="00402467"/>
    <w:rsid w:val="00403857"/>
    <w:rsid w:val="00403D8C"/>
    <w:rsid w:val="00403E6E"/>
    <w:rsid w:val="00405033"/>
    <w:rsid w:val="00405237"/>
    <w:rsid w:val="00412383"/>
    <w:rsid w:val="004129B4"/>
    <w:rsid w:val="004136C7"/>
    <w:rsid w:val="00413D0F"/>
    <w:rsid w:val="00415905"/>
    <w:rsid w:val="00417EF0"/>
    <w:rsid w:val="0042001D"/>
    <w:rsid w:val="004210B5"/>
    <w:rsid w:val="00422181"/>
    <w:rsid w:val="004235E3"/>
    <w:rsid w:val="00423D2D"/>
    <w:rsid w:val="00423F71"/>
    <w:rsid w:val="004244A8"/>
    <w:rsid w:val="00425F72"/>
    <w:rsid w:val="00425F7F"/>
    <w:rsid w:val="00427736"/>
    <w:rsid w:val="004303C4"/>
    <w:rsid w:val="004357A8"/>
    <w:rsid w:val="00437165"/>
    <w:rsid w:val="004405E6"/>
    <w:rsid w:val="00441787"/>
    <w:rsid w:val="00444DEE"/>
    <w:rsid w:val="00444F2D"/>
    <w:rsid w:val="00450689"/>
    <w:rsid w:val="00452034"/>
    <w:rsid w:val="004526DB"/>
    <w:rsid w:val="004538B3"/>
    <w:rsid w:val="00454753"/>
    <w:rsid w:val="00455FA6"/>
    <w:rsid w:val="00457B0E"/>
    <w:rsid w:val="0046572D"/>
    <w:rsid w:val="00466C70"/>
    <w:rsid w:val="004672EF"/>
    <w:rsid w:val="00467857"/>
    <w:rsid w:val="00467E67"/>
    <w:rsid w:val="004702C9"/>
    <w:rsid w:val="00472E45"/>
    <w:rsid w:val="00473FEA"/>
    <w:rsid w:val="0047501A"/>
    <w:rsid w:val="0047579D"/>
    <w:rsid w:val="00480DC9"/>
    <w:rsid w:val="00483262"/>
    <w:rsid w:val="004836B0"/>
    <w:rsid w:val="00483781"/>
    <w:rsid w:val="00484107"/>
    <w:rsid w:val="00485247"/>
    <w:rsid w:val="00485CC5"/>
    <w:rsid w:val="004862F3"/>
    <w:rsid w:val="0049343F"/>
    <w:rsid w:val="00494CED"/>
    <w:rsid w:val="00495C48"/>
    <w:rsid w:val="004964FC"/>
    <w:rsid w:val="004A0D53"/>
    <w:rsid w:val="004A145E"/>
    <w:rsid w:val="004A1F15"/>
    <w:rsid w:val="004A2A81"/>
    <w:rsid w:val="004A43AC"/>
    <w:rsid w:val="004A4621"/>
    <w:rsid w:val="004A7BD7"/>
    <w:rsid w:val="004B43CC"/>
    <w:rsid w:val="004B6395"/>
    <w:rsid w:val="004B7D3A"/>
    <w:rsid w:val="004C1166"/>
    <w:rsid w:val="004C15C2"/>
    <w:rsid w:val="004C21CA"/>
    <w:rsid w:val="004C322A"/>
    <w:rsid w:val="004C36D8"/>
    <w:rsid w:val="004D1248"/>
    <w:rsid w:val="004D1E3C"/>
    <w:rsid w:val="004D4169"/>
    <w:rsid w:val="004D4AA0"/>
    <w:rsid w:val="004D6E14"/>
    <w:rsid w:val="004D77F2"/>
    <w:rsid w:val="004D79C6"/>
    <w:rsid w:val="004E0081"/>
    <w:rsid w:val="004E15BB"/>
    <w:rsid w:val="004E1A8A"/>
    <w:rsid w:val="004E261A"/>
    <w:rsid w:val="004E7EB7"/>
    <w:rsid w:val="004F06B4"/>
    <w:rsid w:val="004F0E56"/>
    <w:rsid w:val="004F38DC"/>
    <w:rsid w:val="004F4E17"/>
    <w:rsid w:val="0050082F"/>
    <w:rsid w:val="00500C56"/>
    <w:rsid w:val="00501713"/>
    <w:rsid w:val="00502565"/>
    <w:rsid w:val="00506568"/>
    <w:rsid w:val="00511CE1"/>
    <w:rsid w:val="00512577"/>
    <w:rsid w:val="005148C0"/>
    <w:rsid w:val="0051551B"/>
    <w:rsid w:val="00517514"/>
    <w:rsid w:val="00517841"/>
    <w:rsid w:val="005203E4"/>
    <w:rsid w:val="005203FF"/>
    <w:rsid w:val="00520C57"/>
    <w:rsid w:val="00522D94"/>
    <w:rsid w:val="00532A98"/>
    <w:rsid w:val="00533D89"/>
    <w:rsid w:val="00536564"/>
    <w:rsid w:val="0053668D"/>
    <w:rsid w:val="00540EE7"/>
    <w:rsid w:val="00544597"/>
    <w:rsid w:val="005445F3"/>
    <w:rsid w:val="00544945"/>
    <w:rsid w:val="00544E77"/>
    <w:rsid w:val="00544FFE"/>
    <w:rsid w:val="005465B2"/>
    <w:rsid w:val="005468D2"/>
    <w:rsid w:val="005473F5"/>
    <w:rsid w:val="00547701"/>
    <w:rsid w:val="005477E7"/>
    <w:rsid w:val="00547EF3"/>
    <w:rsid w:val="00552794"/>
    <w:rsid w:val="00552ED6"/>
    <w:rsid w:val="0055328D"/>
    <w:rsid w:val="0055501C"/>
    <w:rsid w:val="00556C0E"/>
    <w:rsid w:val="00556CD9"/>
    <w:rsid w:val="005573FA"/>
    <w:rsid w:val="00560C4D"/>
    <w:rsid w:val="005617AC"/>
    <w:rsid w:val="00563199"/>
    <w:rsid w:val="00564874"/>
    <w:rsid w:val="00567963"/>
    <w:rsid w:val="0057009A"/>
    <w:rsid w:val="00571260"/>
    <w:rsid w:val="0057179D"/>
    <w:rsid w:val="0057189C"/>
    <w:rsid w:val="00573F9B"/>
    <w:rsid w:val="00573FC1"/>
    <w:rsid w:val="005741EE"/>
    <w:rsid w:val="0057551A"/>
    <w:rsid w:val="0057668E"/>
    <w:rsid w:val="00576A2A"/>
    <w:rsid w:val="00577A68"/>
    <w:rsid w:val="005835BC"/>
    <w:rsid w:val="00583791"/>
    <w:rsid w:val="00584B15"/>
    <w:rsid w:val="00587ACB"/>
    <w:rsid w:val="00594E93"/>
    <w:rsid w:val="00595E83"/>
    <w:rsid w:val="00596530"/>
    <w:rsid w:val="005967F3"/>
    <w:rsid w:val="005970B5"/>
    <w:rsid w:val="005A06DF"/>
    <w:rsid w:val="005A1F07"/>
    <w:rsid w:val="005A2E3E"/>
    <w:rsid w:val="005A5527"/>
    <w:rsid w:val="005A5AE6"/>
    <w:rsid w:val="005B1206"/>
    <w:rsid w:val="005B1AAE"/>
    <w:rsid w:val="005B2BE6"/>
    <w:rsid w:val="005B37E8"/>
    <w:rsid w:val="005B3D3E"/>
    <w:rsid w:val="005B6BA8"/>
    <w:rsid w:val="005C0056"/>
    <w:rsid w:val="005C165E"/>
    <w:rsid w:val="005C29D5"/>
    <w:rsid w:val="005C4637"/>
    <w:rsid w:val="005C6220"/>
    <w:rsid w:val="005D1CBA"/>
    <w:rsid w:val="005D25E3"/>
    <w:rsid w:val="005D2B83"/>
    <w:rsid w:val="005D308F"/>
    <w:rsid w:val="005D309E"/>
    <w:rsid w:val="005D4E2B"/>
    <w:rsid w:val="005D61D6"/>
    <w:rsid w:val="005D666B"/>
    <w:rsid w:val="005D76A6"/>
    <w:rsid w:val="005E09DE"/>
    <w:rsid w:val="005E0D13"/>
    <w:rsid w:val="005E1207"/>
    <w:rsid w:val="005E28F9"/>
    <w:rsid w:val="005E4AAC"/>
    <w:rsid w:val="005E5047"/>
    <w:rsid w:val="005E5501"/>
    <w:rsid w:val="005E7205"/>
    <w:rsid w:val="005E7371"/>
    <w:rsid w:val="005E7CA7"/>
    <w:rsid w:val="005F0198"/>
    <w:rsid w:val="005F116C"/>
    <w:rsid w:val="005F2131"/>
    <w:rsid w:val="005F3BC8"/>
    <w:rsid w:val="00601F29"/>
    <w:rsid w:val="0060384B"/>
    <w:rsid w:val="00604559"/>
    <w:rsid w:val="00605EF6"/>
    <w:rsid w:val="00606455"/>
    <w:rsid w:val="00607FC7"/>
    <w:rsid w:val="006132B8"/>
    <w:rsid w:val="00613B0A"/>
    <w:rsid w:val="00614929"/>
    <w:rsid w:val="00616511"/>
    <w:rsid w:val="006176ED"/>
    <w:rsid w:val="0061771F"/>
    <w:rsid w:val="006202F3"/>
    <w:rsid w:val="0062097A"/>
    <w:rsid w:val="00621DA6"/>
    <w:rsid w:val="00623CFE"/>
    <w:rsid w:val="00624593"/>
    <w:rsid w:val="00627221"/>
    <w:rsid w:val="00627EE8"/>
    <w:rsid w:val="006316FA"/>
    <w:rsid w:val="00633E8E"/>
    <w:rsid w:val="00634212"/>
    <w:rsid w:val="0063655F"/>
    <w:rsid w:val="0063692B"/>
    <w:rsid w:val="006370D2"/>
    <w:rsid w:val="0064074F"/>
    <w:rsid w:val="00641F55"/>
    <w:rsid w:val="0064290A"/>
    <w:rsid w:val="00645E4A"/>
    <w:rsid w:val="00646831"/>
    <w:rsid w:val="00651F95"/>
    <w:rsid w:val="006529B2"/>
    <w:rsid w:val="00652F3D"/>
    <w:rsid w:val="0065366E"/>
    <w:rsid w:val="00653688"/>
    <w:rsid w:val="00653750"/>
    <w:rsid w:val="006579B6"/>
    <w:rsid w:val="0066091B"/>
    <w:rsid w:val="006660E9"/>
    <w:rsid w:val="00667249"/>
    <w:rsid w:val="00667558"/>
    <w:rsid w:val="00671523"/>
    <w:rsid w:val="00672464"/>
    <w:rsid w:val="006750E8"/>
    <w:rsid w:val="006754EF"/>
    <w:rsid w:val="0067581A"/>
    <w:rsid w:val="0067660C"/>
    <w:rsid w:val="00676C8D"/>
    <w:rsid w:val="00676F1F"/>
    <w:rsid w:val="00677381"/>
    <w:rsid w:val="00677414"/>
    <w:rsid w:val="00680BFD"/>
    <w:rsid w:val="00681AE8"/>
    <w:rsid w:val="006832CF"/>
    <w:rsid w:val="00684006"/>
    <w:rsid w:val="0068558E"/>
    <w:rsid w:val="0068601E"/>
    <w:rsid w:val="00690A04"/>
    <w:rsid w:val="00691670"/>
    <w:rsid w:val="006931D1"/>
    <w:rsid w:val="00693EBB"/>
    <w:rsid w:val="0069486B"/>
    <w:rsid w:val="0069698F"/>
    <w:rsid w:val="006A4904"/>
    <w:rsid w:val="006A548F"/>
    <w:rsid w:val="006A701A"/>
    <w:rsid w:val="006A7F88"/>
    <w:rsid w:val="006B64DC"/>
    <w:rsid w:val="006B6FAB"/>
    <w:rsid w:val="006B7A91"/>
    <w:rsid w:val="006C06B7"/>
    <w:rsid w:val="006C109F"/>
    <w:rsid w:val="006C33E3"/>
    <w:rsid w:val="006C570E"/>
    <w:rsid w:val="006D0CBD"/>
    <w:rsid w:val="006D2B82"/>
    <w:rsid w:val="006D46EC"/>
    <w:rsid w:val="006D4704"/>
    <w:rsid w:val="006D4899"/>
    <w:rsid w:val="006D4D52"/>
    <w:rsid w:val="006D6A2D"/>
    <w:rsid w:val="006D6EF7"/>
    <w:rsid w:val="006D7396"/>
    <w:rsid w:val="006E00C0"/>
    <w:rsid w:val="006E03E8"/>
    <w:rsid w:val="006E1E18"/>
    <w:rsid w:val="006E31CE"/>
    <w:rsid w:val="006E34D3"/>
    <w:rsid w:val="006E4D9D"/>
    <w:rsid w:val="006F1435"/>
    <w:rsid w:val="006F2206"/>
    <w:rsid w:val="006F4012"/>
    <w:rsid w:val="006F78C4"/>
    <w:rsid w:val="00701C20"/>
    <w:rsid w:val="007031A0"/>
    <w:rsid w:val="0070385B"/>
    <w:rsid w:val="0070456F"/>
    <w:rsid w:val="00705A29"/>
    <w:rsid w:val="00706731"/>
    <w:rsid w:val="00707498"/>
    <w:rsid w:val="00711332"/>
    <w:rsid w:val="007117A1"/>
    <w:rsid w:val="00711A65"/>
    <w:rsid w:val="00714133"/>
    <w:rsid w:val="00714DA4"/>
    <w:rsid w:val="0071574D"/>
    <w:rsid w:val="007158B2"/>
    <w:rsid w:val="00716081"/>
    <w:rsid w:val="00716383"/>
    <w:rsid w:val="00717D3F"/>
    <w:rsid w:val="007210B2"/>
    <w:rsid w:val="00722B48"/>
    <w:rsid w:val="00724164"/>
    <w:rsid w:val="00725DE7"/>
    <w:rsid w:val="0072636A"/>
    <w:rsid w:val="00726896"/>
    <w:rsid w:val="00726B44"/>
    <w:rsid w:val="00726F9F"/>
    <w:rsid w:val="00731007"/>
    <w:rsid w:val="007318DD"/>
    <w:rsid w:val="00733167"/>
    <w:rsid w:val="00734A5E"/>
    <w:rsid w:val="00734A94"/>
    <w:rsid w:val="0073685E"/>
    <w:rsid w:val="00740D2C"/>
    <w:rsid w:val="0074295B"/>
    <w:rsid w:val="00744809"/>
    <w:rsid w:val="00744BF9"/>
    <w:rsid w:val="007519A0"/>
    <w:rsid w:val="00752623"/>
    <w:rsid w:val="00756F45"/>
    <w:rsid w:val="00757C9C"/>
    <w:rsid w:val="00757D76"/>
    <w:rsid w:val="007602B8"/>
    <w:rsid w:val="00760ADA"/>
    <w:rsid w:val="00760CC7"/>
    <w:rsid w:val="00760F1F"/>
    <w:rsid w:val="0076423E"/>
    <w:rsid w:val="007646CB"/>
    <w:rsid w:val="00764886"/>
    <w:rsid w:val="00764C41"/>
    <w:rsid w:val="00765177"/>
    <w:rsid w:val="00765A1E"/>
    <w:rsid w:val="0076658F"/>
    <w:rsid w:val="0077040A"/>
    <w:rsid w:val="00771126"/>
    <w:rsid w:val="00772D64"/>
    <w:rsid w:val="00783613"/>
    <w:rsid w:val="007847B4"/>
    <w:rsid w:val="007901FE"/>
    <w:rsid w:val="00790AE4"/>
    <w:rsid w:val="00792609"/>
    <w:rsid w:val="00792887"/>
    <w:rsid w:val="007943E2"/>
    <w:rsid w:val="00794F2C"/>
    <w:rsid w:val="00795C3F"/>
    <w:rsid w:val="007A1138"/>
    <w:rsid w:val="007A3236"/>
    <w:rsid w:val="007A3BC7"/>
    <w:rsid w:val="007A5AC4"/>
    <w:rsid w:val="007A697B"/>
    <w:rsid w:val="007A7C9A"/>
    <w:rsid w:val="007B0FDD"/>
    <w:rsid w:val="007B21EE"/>
    <w:rsid w:val="007B2E2B"/>
    <w:rsid w:val="007B2EBF"/>
    <w:rsid w:val="007B36DF"/>
    <w:rsid w:val="007B4802"/>
    <w:rsid w:val="007B4AB0"/>
    <w:rsid w:val="007B4E48"/>
    <w:rsid w:val="007B6668"/>
    <w:rsid w:val="007B6B33"/>
    <w:rsid w:val="007B70E6"/>
    <w:rsid w:val="007C0E59"/>
    <w:rsid w:val="007C14D0"/>
    <w:rsid w:val="007C2701"/>
    <w:rsid w:val="007C65F3"/>
    <w:rsid w:val="007C6612"/>
    <w:rsid w:val="007C7504"/>
    <w:rsid w:val="007D0634"/>
    <w:rsid w:val="007D2192"/>
    <w:rsid w:val="007D21C3"/>
    <w:rsid w:val="007D2782"/>
    <w:rsid w:val="007D2BB9"/>
    <w:rsid w:val="007D4907"/>
    <w:rsid w:val="007D60CB"/>
    <w:rsid w:val="007D747A"/>
    <w:rsid w:val="007E3A01"/>
    <w:rsid w:val="007E7326"/>
    <w:rsid w:val="007F0021"/>
    <w:rsid w:val="007F233C"/>
    <w:rsid w:val="007F2F52"/>
    <w:rsid w:val="007F3831"/>
    <w:rsid w:val="007F783B"/>
    <w:rsid w:val="00801B48"/>
    <w:rsid w:val="00801F71"/>
    <w:rsid w:val="00803349"/>
    <w:rsid w:val="00803741"/>
    <w:rsid w:val="008041C8"/>
    <w:rsid w:val="00805C77"/>
    <w:rsid w:val="00805F28"/>
    <w:rsid w:val="008063CD"/>
    <w:rsid w:val="0080749F"/>
    <w:rsid w:val="00811D46"/>
    <w:rsid w:val="008125B0"/>
    <w:rsid w:val="00812B2C"/>
    <w:rsid w:val="008144CB"/>
    <w:rsid w:val="008157C5"/>
    <w:rsid w:val="00816F79"/>
    <w:rsid w:val="0082111E"/>
    <w:rsid w:val="0082138A"/>
    <w:rsid w:val="00821717"/>
    <w:rsid w:val="00822BAF"/>
    <w:rsid w:val="00824210"/>
    <w:rsid w:val="008263C0"/>
    <w:rsid w:val="00830BE6"/>
    <w:rsid w:val="008314E9"/>
    <w:rsid w:val="00832A91"/>
    <w:rsid w:val="00836915"/>
    <w:rsid w:val="00837718"/>
    <w:rsid w:val="00837918"/>
    <w:rsid w:val="00837BE0"/>
    <w:rsid w:val="008402AF"/>
    <w:rsid w:val="00840EAC"/>
    <w:rsid w:val="00841422"/>
    <w:rsid w:val="00841D3B"/>
    <w:rsid w:val="0084314C"/>
    <w:rsid w:val="00843171"/>
    <w:rsid w:val="008451A2"/>
    <w:rsid w:val="00846624"/>
    <w:rsid w:val="00850EDC"/>
    <w:rsid w:val="0085193F"/>
    <w:rsid w:val="008559C4"/>
    <w:rsid w:val="00855B9E"/>
    <w:rsid w:val="008575C3"/>
    <w:rsid w:val="00857830"/>
    <w:rsid w:val="00862779"/>
    <w:rsid w:val="00863D28"/>
    <w:rsid w:val="008648C3"/>
    <w:rsid w:val="00865D78"/>
    <w:rsid w:val="008668C1"/>
    <w:rsid w:val="0087050B"/>
    <w:rsid w:val="00871B51"/>
    <w:rsid w:val="0087398F"/>
    <w:rsid w:val="008775DB"/>
    <w:rsid w:val="00880B7E"/>
    <w:rsid w:val="00880E1B"/>
    <w:rsid w:val="00880F26"/>
    <w:rsid w:val="008817FF"/>
    <w:rsid w:val="008841E1"/>
    <w:rsid w:val="0088793E"/>
    <w:rsid w:val="00890508"/>
    <w:rsid w:val="0089587A"/>
    <w:rsid w:val="00896C2E"/>
    <w:rsid w:val="008A0B45"/>
    <w:rsid w:val="008A0B6C"/>
    <w:rsid w:val="008A3BD6"/>
    <w:rsid w:val="008A5095"/>
    <w:rsid w:val="008A608F"/>
    <w:rsid w:val="008B16AE"/>
    <w:rsid w:val="008B1A9A"/>
    <w:rsid w:val="008B2563"/>
    <w:rsid w:val="008B3BAA"/>
    <w:rsid w:val="008B4FE6"/>
    <w:rsid w:val="008B5DD7"/>
    <w:rsid w:val="008B6504"/>
    <w:rsid w:val="008B6C37"/>
    <w:rsid w:val="008B7156"/>
    <w:rsid w:val="008B76E1"/>
    <w:rsid w:val="008C4FC1"/>
    <w:rsid w:val="008D15AE"/>
    <w:rsid w:val="008D5C10"/>
    <w:rsid w:val="008D7E6C"/>
    <w:rsid w:val="008E0EC8"/>
    <w:rsid w:val="008E18F7"/>
    <w:rsid w:val="008E1941"/>
    <w:rsid w:val="008E1E10"/>
    <w:rsid w:val="008E25AD"/>
    <w:rsid w:val="008E291B"/>
    <w:rsid w:val="008E2CF5"/>
    <w:rsid w:val="008E4297"/>
    <w:rsid w:val="008E4F2F"/>
    <w:rsid w:val="008E59F7"/>
    <w:rsid w:val="008E74B0"/>
    <w:rsid w:val="008F2F6E"/>
    <w:rsid w:val="008F325E"/>
    <w:rsid w:val="008F3736"/>
    <w:rsid w:val="008F374F"/>
    <w:rsid w:val="008F50D8"/>
    <w:rsid w:val="009008A8"/>
    <w:rsid w:val="00902A38"/>
    <w:rsid w:val="009063B0"/>
    <w:rsid w:val="00907106"/>
    <w:rsid w:val="009107FD"/>
    <w:rsid w:val="0091137C"/>
    <w:rsid w:val="00911567"/>
    <w:rsid w:val="00914893"/>
    <w:rsid w:val="00917AAE"/>
    <w:rsid w:val="00922AEF"/>
    <w:rsid w:val="009251A9"/>
    <w:rsid w:val="00925A9E"/>
    <w:rsid w:val="0092602A"/>
    <w:rsid w:val="0092666E"/>
    <w:rsid w:val="00927BDA"/>
    <w:rsid w:val="00930484"/>
    <w:rsid w:val="00930699"/>
    <w:rsid w:val="00931F69"/>
    <w:rsid w:val="0093291C"/>
    <w:rsid w:val="0093295A"/>
    <w:rsid w:val="00932C93"/>
    <w:rsid w:val="00934123"/>
    <w:rsid w:val="00936971"/>
    <w:rsid w:val="00941DDC"/>
    <w:rsid w:val="0094226E"/>
    <w:rsid w:val="00943BE4"/>
    <w:rsid w:val="00955457"/>
    <w:rsid w:val="00955774"/>
    <w:rsid w:val="009560B5"/>
    <w:rsid w:val="00966533"/>
    <w:rsid w:val="009674EE"/>
    <w:rsid w:val="009703D6"/>
    <w:rsid w:val="0097073B"/>
    <w:rsid w:val="0097181B"/>
    <w:rsid w:val="0097237F"/>
    <w:rsid w:val="009746E1"/>
    <w:rsid w:val="0097501B"/>
    <w:rsid w:val="00976528"/>
    <w:rsid w:val="00976DC5"/>
    <w:rsid w:val="00977CA4"/>
    <w:rsid w:val="009818C7"/>
    <w:rsid w:val="00982DD4"/>
    <w:rsid w:val="009838AC"/>
    <w:rsid w:val="009841E5"/>
    <w:rsid w:val="00984267"/>
    <w:rsid w:val="009842C5"/>
    <w:rsid w:val="0098479F"/>
    <w:rsid w:val="00984A8A"/>
    <w:rsid w:val="00984DEA"/>
    <w:rsid w:val="009852BF"/>
    <w:rsid w:val="009857B6"/>
    <w:rsid w:val="00985A8D"/>
    <w:rsid w:val="00986610"/>
    <w:rsid w:val="009877DC"/>
    <w:rsid w:val="009912FD"/>
    <w:rsid w:val="00991F96"/>
    <w:rsid w:val="00992E6C"/>
    <w:rsid w:val="00995038"/>
    <w:rsid w:val="00996F0A"/>
    <w:rsid w:val="0099737F"/>
    <w:rsid w:val="009A1D86"/>
    <w:rsid w:val="009A2309"/>
    <w:rsid w:val="009A56D0"/>
    <w:rsid w:val="009A5DB5"/>
    <w:rsid w:val="009A7186"/>
    <w:rsid w:val="009B049C"/>
    <w:rsid w:val="009B11C8"/>
    <w:rsid w:val="009B2BCF"/>
    <w:rsid w:val="009B2FB9"/>
    <w:rsid w:val="009B2FF8"/>
    <w:rsid w:val="009B41F0"/>
    <w:rsid w:val="009B5BA3"/>
    <w:rsid w:val="009B6A65"/>
    <w:rsid w:val="009B76E1"/>
    <w:rsid w:val="009C0131"/>
    <w:rsid w:val="009C1784"/>
    <w:rsid w:val="009C187C"/>
    <w:rsid w:val="009C21A7"/>
    <w:rsid w:val="009C2A26"/>
    <w:rsid w:val="009C2AB9"/>
    <w:rsid w:val="009C6410"/>
    <w:rsid w:val="009D0027"/>
    <w:rsid w:val="009D0655"/>
    <w:rsid w:val="009D06D6"/>
    <w:rsid w:val="009D4BB0"/>
    <w:rsid w:val="009E1E98"/>
    <w:rsid w:val="009E268E"/>
    <w:rsid w:val="009E3ABE"/>
    <w:rsid w:val="009E3C4B"/>
    <w:rsid w:val="009E7406"/>
    <w:rsid w:val="009F0637"/>
    <w:rsid w:val="009F409E"/>
    <w:rsid w:val="009F40BC"/>
    <w:rsid w:val="009F4EEC"/>
    <w:rsid w:val="009F529B"/>
    <w:rsid w:val="009F62A6"/>
    <w:rsid w:val="009F674F"/>
    <w:rsid w:val="009F799E"/>
    <w:rsid w:val="00A02020"/>
    <w:rsid w:val="00A056CB"/>
    <w:rsid w:val="00A05CB5"/>
    <w:rsid w:val="00A07A29"/>
    <w:rsid w:val="00A102D5"/>
    <w:rsid w:val="00A10FF1"/>
    <w:rsid w:val="00A13EEB"/>
    <w:rsid w:val="00A1506B"/>
    <w:rsid w:val="00A17CB2"/>
    <w:rsid w:val="00A17FEC"/>
    <w:rsid w:val="00A208ED"/>
    <w:rsid w:val="00A23052"/>
    <w:rsid w:val="00A23191"/>
    <w:rsid w:val="00A24F39"/>
    <w:rsid w:val="00A30CF0"/>
    <w:rsid w:val="00A312CE"/>
    <w:rsid w:val="00A319C0"/>
    <w:rsid w:val="00A31E95"/>
    <w:rsid w:val="00A33560"/>
    <w:rsid w:val="00A344D1"/>
    <w:rsid w:val="00A34561"/>
    <w:rsid w:val="00A364E4"/>
    <w:rsid w:val="00A371A5"/>
    <w:rsid w:val="00A40C4D"/>
    <w:rsid w:val="00A44CAD"/>
    <w:rsid w:val="00A457F6"/>
    <w:rsid w:val="00A47BDF"/>
    <w:rsid w:val="00A50F89"/>
    <w:rsid w:val="00A51CD7"/>
    <w:rsid w:val="00A52ADB"/>
    <w:rsid w:val="00A533E8"/>
    <w:rsid w:val="00A542D9"/>
    <w:rsid w:val="00A560D7"/>
    <w:rsid w:val="00A56A7D"/>
    <w:rsid w:val="00A56E64"/>
    <w:rsid w:val="00A575E9"/>
    <w:rsid w:val="00A576A7"/>
    <w:rsid w:val="00A624C3"/>
    <w:rsid w:val="00A62CE8"/>
    <w:rsid w:val="00A6641C"/>
    <w:rsid w:val="00A74365"/>
    <w:rsid w:val="00A767D2"/>
    <w:rsid w:val="00A77616"/>
    <w:rsid w:val="00A805DA"/>
    <w:rsid w:val="00A80FE5"/>
    <w:rsid w:val="00A811B4"/>
    <w:rsid w:val="00A87162"/>
    <w:rsid w:val="00A8757F"/>
    <w:rsid w:val="00A87CDE"/>
    <w:rsid w:val="00A92BAF"/>
    <w:rsid w:val="00A94737"/>
    <w:rsid w:val="00A94BA3"/>
    <w:rsid w:val="00A95A2A"/>
    <w:rsid w:val="00A96CBA"/>
    <w:rsid w:val="00A97A53"/>
    <w:rsid w:val="00AA0243"/>
    <w:rsid w:val="00AA02C6"/>
    <w:rsid w:val="00AA5002"/>
    <w:rsid w:val="00AA544B"/>
    <w:rsid w:val="00AB00F3"/>
    <w:rsid w:val="00AB1ACD"/>
    <w:rsid w:val="00AB1AFC"/>
    <w:rsid w:val="00AB1BF8"/>
    <w:rsid w:val="00AB277F"/>
    <w:rsid w:val="00AB4099"/>
    <w:rsid w:val="00AB449A"/>
    <w:rsid w:val="00AB4FCF"/>
    <w:rsid w:val="00AB5713"/>
    <w:rsid w:val="00AC012F"/>
    <w:rsid w:val="00AC0BB8"/>
    <w:rsid w:val="00AC33B9"/>
    <w:rsid w:val="00AC3C0F"/>
    <w:rsid w:val="00AC57F0"/>
    <w:rsid w:val="00AC67B3"/>
    <w:rsid w:val="00AC7434"/>
    <w:rsid w:val="00AC797B"/>
    <w:rsid w:val="00AD0E6B"/>
    <w:rsid w:val="00AD1091"/>
    <w:rsid w:val="00AD14F9"/>
    <w:rsid w:val="00AD35D6"/>
    <w:rsid w:val="00AD58C5"/>
    <w:rsid w:val="00AE36C4"/>
    <w:rsid w:val="00AE472C"/>
    <w:rsid w:val="00AE5375"/>
    <w:rsid w:val="00AE6CF8"/>
    <w:rsid w:val="00AF0A08"/>
    <w:rsid w:val="00AF4CAC"/>
    <w:rsid w:val="00B008BE"/>
    <w:rsid w:val="00B03D67"/>
    <w:rsid w:val="00B03E0D"/>
    <w:rsid w:val="00B054F8"/>
    <w:rsid w:val="00B07D8E"/>
    <w:rsid w:val="00B130FB"/>
    <w:rsid w:val="00B13264"/>
    <w:rsid w:val="00B15443"/>
    <w:rsid w:val="00B20684"/>
    <w:rsid w:val="00B2219A"/>
    <w:rsid w:val="00B256BF"/>
    <w:rsid w:val="00B26938"/>
    <w:rsid w:val="00B27709"/>
    <w:rsid w:val="00B27B70"/>
    <w:rsid w:val="00B34067"/>
    <w:rsid w:val="00B3581B"/>
    <w:rsid w:val="00B36B81"/>
    <w:rsid w:val="00B36FEE"/>
    <w:rsid w:val="00B37C80"/>
    <w:rsid w:val="00B4039D"/>
    <w:rsid w:val="00B420DB"/>
    <w:rsid w:val="00B44F66"/>
    <w:rsid w:val="00B46483"/>
    <w:rsid w:val="00B474BA"/>
    <w:rsid w:val="00B5092B"/>
    <w:rsid w:val="00B5194E"/>
    <w:rsid w:val="00B51AF5"/>
    <w:rsid w:val="00B526BC"/>
    <w:rsid w:val="00B531FC"/>
    <w:rsid w:val="00B53939"/>
    <w:rsid w:val="00B54920"/>
    <w:rsid w:val="00B55347"/>
    <w:rsid w:val="00B57E5E"/>
    <w:rsid w:val="00B60101"/>
    <w:rsid w:val="00B61F37"/>
    <w:rsid w:val="00B62AE6"/>
    <w:rsid w:val="00B66DFD"/>
    <w:rsid w:val="00B750D3"/>
    <w:rsid w:val="00B7770F"/>
    <w:rsid w:val="00B77A89"/>
    <w:rsid w:val="00B77B27"/>
    <w:rsid w:val="00B8134E"/>
    <w:rsid w:val="00B81B55"/>
    <w:rsid w:val="00B81F2E"/>
    <w:rsid w:val="00B845D0"/>
    <w:rsid w:val="00B84613"/>
    <w:rsid w:val="00B87AF0"/>
    <w:rsid w:val="00B87D5A"/>
    <w:rsid w:val="00B9037B"/>
    <w:rsid w:val="00B910BD"/>
    <w:rsid w:val="00B93834"/>
    <w:rsid w:val="00B94BBB"/>
    <w:rsid w:val="00B96469"/>
    <w:rsid w:val="00BA0DA2"/>
    <w:rsid w:val="00BA2981"/>
    <w:rsid w:val="00BA3B3F"/>
    <w:rsid w:val="00BA42EE"/>
    <w:rsid w:val="00BA48F9"/>
    <w:rsid w:val="00BA5E4A"/>
    <w:rsid w:val="00BA673F"/>
    <w:rsid w:val="00BB0DCA"/>
    <w:rsid w:val="00BB1D2F"/>
    <w:rsid w:val="00BB2666"/>
    <w:rsid w:val="00BB3402"/>
    <w:rsid w:val="00BB343C"/>
    <w:rsid w:val="00BB6B80"/>
    <w:rsid w:val="00BB7873"/>
    <w:rsid w:val="00BC01D7"/>
    <w:rsid w:val="00BC14FD"/>
    <w:rsid w:val="00BC24F4"/>
    <w:rsid w:val="00BC3773"/>
    <w:rsid w:val="00BC381A"/>
    <w:rsid w:val="00BC5E44"/>
    <w:rsid w:val="00BC7C6A"/>
    <w:rsid w:val="00BD0962"/>
    <w:rsid w:val="00BD1EED"/>
    <w:rsid w:val="00BD2AB9"/>
    <w:rsid w:val="00BD58CA"/>
    <w:rsid w:val="00BD5DF9"/>
    <w:rsid w:val="00BD5F7C"/>
    <w:rsid w:val="00BD7DFB"/>
    <w:rsid w:val="00BE0406"/>
    <w:rsid w:val="00BE0C60"/>
    <w:rsid w:val="00BE3276"/>
    <w:rsid w:val="00BE51A3"/>
    <w:rsid w:val="00BE55AA"/>
    <w:rsid w:val="00BF03A4"/>
    <w:rsid w:val="00BF044D"/>
    <w:rsid w:val="00BF0DA2"/>
    <w:rsid w:val="00BF109C"/>
    <w:rsid w:val="00BF1404"/>
    <w:rsid w:val="00BF34FA"/>
    <w:rsid w:val="00BF44FB"/>
    <w:rsid w:val="00BF4546"/>
    <w:rsid w:val="00BF463B"/>
    <w:rsid w:val="00BF4D95"/>
    <w:rsid w:val="00BF5223"/>
    <w:rsid w:val="00C004B6"/>
    <w:rsid w:val="00C01C41"/>
    <w:rsid w:val="00C03931"/>
    <w:rsid w:val="00C047A7"/>
    <w:rsid w:val="00C05DE5"/>
    <w:rsid w:val="00C11654"/>
    <w:rsid w:val="00C130E7"/>
    <w:rsid w:val="00C14624"/>
    <w:rsid w:val="00C14B8B"/>
    <w:rsid w:val="00C150C2"/>
    <w:rsid w:val="00C17AFC"/>
    <w:rsid w:val="00C21A21"/>
    <w:rsid w:val="00C23E9F"/>
    <w:rsid w:val="00C27CE4"/>
    <w:rsid w:val="00C33027"/>
    <w:rsid w:val="00C34796"/>
    <w:rsid w:val="00C37667"/>
    <w:rsid w:val="00C435DB"/>
    <w:rsid w:val="00C4375F"/>
    <w:rsid w:val="00C44D73"/>
    <w:rsid w:val="00C47FA2"/>
    <w:rsid w:val="00C50B42"/>
    <w:rsid w:val="00C5124E"/>
    <w:rsid w:val="00C516FF"/>
    <w:rsid w:val="00C52BFA"/>
    <w:rsid w:val="00C52EAD"/>
    <w:rsid w:val="00C53D1D"/>
    <w:rsid w:val="00C53F26"/>
    <w:rsid w:val="00C540BC"/>
    <w:rsid w:val="00C5614C"/>
    <w:rsid w:val="00C56BA8"/>
    <w:rsid w:val="00C56FF1"/>
    <w:rsid w:val="00C57658"/>
    <w:rsid w:val="00C603FD"/>
    <w:rsid w:val="00C6162B"/>
    <w:rsid w:val="00C63C51"/>
    <w:rsid w:val="00C63D51"/>
    <w:rsid w:val="00C64F7D"/>
    <w:rsid w:val="00C658F8"/>
    <w:rsid w:val="00C6645E"/>
    <w:rsid w:val="00C67309"/>
    <w:rsid w:val="00C72C63"/>
    <w:rsid w:val="00C7614E"/>
    <w:rsid w:val="00C77BF1"/>
    <w:rsid w:val="00C80D60"/>
    <w:rsid w:val="00C80D7C"/>
    <w:rsid w:val="00C81579"/>
    <w:rsid w:val="00C82FBD"/>
    <w:rsid w:val="00C83C75"/>
    <w:rsid w:val="00C85267"/>
    <w:rsid w:val="00C8721B"/>
    <w:rsid w:val="00C9372C"/>
    <w:rsid w:val="00C945CF"/>
    <w:rsid w:val="00C9470E"/>
    <w:rsid w:val="00C95CEB"/>
    <w:rsid w:val="00C96D43"/>
    <w:rsid w:val="00C96D6D"/>
    <w:rsid w:val="00C97178"/>
    <w:rsid w:val="00C97184"/>
    <w:rsid w:val="00CA1054"/>
    <w:rsid w:val="00CA37F0"/>
    <w:rsid w:val="00CA63EB"/>
    <w:rsid w:val="00CA69F1"/>
    <w:rsid w:val="00CB1CF8"/>
    <w:rsid w:val="00CB40D2"/>
    <w:rsid w:val="00CB4647"/>
    <w:rsid w:val="00CB6991"/>
    <w:rsid w:val="00CB7955"/>
    <w:rsid w:val="00CC10A3"/>
    <w:rsid w:val="00CC6194"/>
    <w:rsid w:val="00CC6305"/>
    <w:rsid w:val="00CC78A5"/>
    <w:rsid w:val="00CD0516"/>
    <w:rsid w:val="00CD2C22"/>
    <w:rsid w:val="00CD3631"/>
    <w:rsid w:val="00CD756B"/>
    <w:rsid w:val="00CE214F"/>
    <w:rsid w:val="00CE6744"/>
    <w:rsid w:val="00CE734F"/>
    <w:rsid w:val="00CE7DC3"/>
    <w:rsid w:val="00CF112E"/>
    <w:rsid w:val="00CF143D"/>
    <w:rsid w:val="00CF240E"/>
    <w:rsid w:val="00CF2DCA"/>
    <w:rsid w:val="00CF3A12"/>
    <w:rsid w:val="00CF4D05"/>
    <w:rsid w:val="00CF5030"/>
    <w:rsid w:val="00CF5F4F"/>
    <w:rsid w:val="00D01085"/>
    <w:rsid w:val="00D02AF8"/>
    <w:rsid w:val="00D04CC1"/>
    <w:rsid w:val="00D05F5E"/>
    <w:rsid w:val="00D101EB"/>
    <w:rsid w:val="00D107FC"/>
    <w:rsid w:val="00D130F7"/>
    <w:rsid w:val="00D150FE"/>
    <w:rsid w:val="00D17547"/>
    <w:rsid w:val="00D218DC"/>
    <w:rsid w:val="00D24E56"/>
    <w:rsid w:val="00D25D79"/>
    <w:rsid w:val="00D25E59"/>
    <w:rsid w:val="00D31643"/>
    <w:rsid w:val="00D31AEB"/>
    <w:rsid w:val="00D32A28"/>
    <w:rsid w:val="00D32ECD"/>
    <w:rsid w:val="00D32EEB"/>
    <w:rsid w:val="00D361E4"/>
    <w:rsid w:val="00D42A5B"/>
    <w:rsid w:val="00D42A8F"/>
    <w:rsid w:val="00D43515"/>
    <w:rsid w:val="00D439F6"/>
    <w:rsid w:val="00D459C6"/>
    <w:rsid w:val="00D469F0"/>
    <w:rsid w:val="00D46EB8"/>
    <w:rsid w:val="00D47E63"/>
    <w:rsid w:val="00D504A8"/>
    <w:rsid w:val="00D50729"/>
    <w:rsid w:val="00D50C19"/>
    <w:rsid w:val="00D5379E"/>
    <w:rsid w:val="00D549CF"/>
    <w:rsid w:val="00D57BC4"/>
    <w:rsid w:val="00D57C51"/>
    <w:rsid w:val="00D62643"/>
    <w:rsid w:val="00D64C0F"/>
    <w:rsid w:val="00D656EE"/>
    <w:rsid w:val="00D72EFE"/>
    <w:rsid w:val="00D735C6"/>
    <w:rsid w:val="00D75A2D"/>
    <w:rsid w:val="00D76227"/>
    <w:rsid w:val="00D77DF1"/>
    <w:rsid w:val="00D8437F"/>
    <w:rsid w:val="00D86AFF"/>
    <w:rsid w:val="00D86E71"/>
    <w:rsid w:val="00D917AF"/>
    <w:rsid w:val="00D950B5"/>
    <w:rsid w:val="00D95A44"/>
    <w:rsid w:val="00D95D16"/>
    <w:rsid w:val="00D97C76"/>
    <w:rsid w:val="00DA1208"/>
    <w:rsid w:val="00DA5D95"/>
    <w:rsid w:val="00DB02B4"/>
    <w:rsid w:val="00DB4288"/>
    <w:rsid w:val="00DB538D"/>
    <w:rsid w:val="00DC10F1"/>
    <w:rsid w:val="00DC11B5"/>
    <w:rsid w:val="00DC13DB"/>
    <w:rsid w:val="00DC145D"/>
    <w:rsid w:val="00DC1B4F"/>
    <w:rsid w:val="00DC275C"/>
    <w:rsid w:val="00DC4B0D"/>
    <w:rsid w:val="00DC77F2"/>
    <w:rsid w:val="00DC7FE1"/>
    <w:rsid w:val="00DD3F3F"/>
    <w:rsid w:val="00DD5572"/>
    <w:rsid w:val="00DD5DB8"/>
    <w:rsid w:val="00DD6DD4"/>
    <w:rsid w:val="00DE2526"/>
    <w:rsid w:val="00DE4E30"/>
    <w:rsid w:val="00DE5D80"/>
    <w:rsid w:val="00DF1146"/>
    <w:rsid w:val="00DF148F"/>
    <w:rsid w:val="00DF1585"/>
    <w:rsid w:val="00DF501C"/>
    <w:rsid w:val="00DF58CD"/>
    <w:rsid w:val="00DF65DE"/>
    <w:rsid w:val="00DF6EFF"/>
    <w:rsid w:val="00E019A5"/>
    <w:rsid w:val="00E02153"/>
    <w:rsid w:val="00E02EC8"/>
    <w:rsid w:val="00E037F5"/>
    <w:rsid w:val="00E04D5B"/>
    <w:rsid w:val="00E04ECB"/>
    <w:rsid w:val="00E05A09"/>
    <w:rsid w:val="00E06834"/>
    <w:rsid w:val="00E06CA1"/>
    <w:rsid w:val="00E071A9"/>
    <w:rsid w:val="00E074FF"/>
    <w:rsid w:val="00E07D37"/>
    <w:rsid w:val="00E13147"/>
    <w:rsid w:val="00E132D0"/>
    <w:rsid w:val="00E172B8"/>
    <w:rsid w:val="00E17FB4"/>
    <w:rsid w:val="00E20B04"/>
    <w:rsid w:val="00E20B75"/>
    <w:rsid w:val="00E214F2"/>
    <w:rsid w:val="00E21A1A"/>
    <w:rsid w:val="00E2371E"/>
    <w:rsid w:val="00E24BD7"/>
    <w:rsid w:val="00E250D0"/>
    <w:rsid w:val="00E255AA"/>
    <w:rsid w:val="00E256BF"/>
    <w:rsid w:val="00E26523"/>
    <w:rsid w:val="00E26809"/>
    <w:rsid w:val="00E31EE9"/>
    <w:rsid w:val="00E324CC"/>
    <w:rsid w:val="00E32B97"/>
    <w:rsid w:val="00E3412D"/>
    <w:rsid w:val="00E35207"/>
    <w:rsid w:val="00E3661D"/>
    <w:rsid w:val="00E36EB0"/>
    <w:rsid w:val="00E4013C"/>
    <w:rsid w:val="00E40939"/>
    <w:rsid w:val="00E41655"/>
    <w:rsid w:val="00E45C99"/>
    <w:rsid w:val="00E45F98"/>
    <w:rsid w:val="00E46800"/>
    <w:rsid w:val="00E57322"/>
    <w:rsid w:val="00E61521"/>
    <w:rsid w:val="00E61D68"/>
    <w:rsid w:val="00E628CB"/>
    <w:rsid w:val="00E62AD9"/>
    <w:rsid w:val="00E638C8"/>
    <w:rsid w:val="00E664A8"/>
    <w:rsid w:val="00E664FD"/>
    <w:rsid w:val="00E6770A"/>
    <w:rsid w:val="00E71609"/>
    <w:rsid w:val="00E74BB2"/>
    <w:rsid w:val="00E7509B"/>
    <w:rsid w:val="00E81C8D"/>
    <w:rsid w:val="00E85C9A"/>
    <w:rsid w:val="00E86590"/>
    <w:rsid w:val="00E87343"/>
    <w:rsid w:val="00E87F79"/>
    <w:rsid w:val="00E907FF"/>
    <w:rsid w:val="00E938E3"/>
    <w:rsid w:val="00EA044B"/>
    <w:rsid w:val="00EA42D1"/>
    <w:rsid w:val="00EA42EF"/>
    <w:rsid w:val="00EA6102"/>
    <w:rsid w:val="00EA6BEA"/>
    <w:rsid w:val="00EB1A54"/>
    <w:rsid w:val="00EB26D1"/>
    <w:rsid w:val="00EB2DD1"/>
    <w:rsid w:val="00EB3277"/>
    <w:rsid w:val="00EB6B37"/>
    <w:rsid w:val="00EC0225"/>
    <w:rsid w:val="00EC14A0"/>
    <w:rsid w:val="00EC29FE"/>
    <w:rsid w:val="00EC2DD4"/>
    <w:rsid w:val="00EC3C70"/>
    <w:rsid w:val="00EC588A"/>
    <w:rsid w:val="00EC6674"/>
    <w:rsid w:val="00ED1874"/>
    <w:rsid w:val="00ED2B04"/>
    <w:rsid w:val="00ED32C6"/>
    <w:rsid w:val="00ED34AB"/>
    <w:rsid w:val="00ED3A3D"/>
    <w:rsid w:val="00ED529F"/>
    <w:rsid w:val="00ED538A"/>
    <w:rsid w:val="00ED546C"/>
    <w:rsid w:val="00ED6FBC"/>
    <w:rsid w:val="00ED7559"/>
    <w:rsid w:val="00EE063D"/>
    <w:rsid w:val="00EE20F8"/>
    <w:rsid w:val="00EE215C"/>
    <w:rsid w:val="00EE2804"/>
    <w:rsid w:val="00EE2F16"/>
    <w:rsid w:val="00EE3861"/>
    <w:rsid w:val="00EE587E"/>
    <w:rsid w:val="00EE6804"/>
    <w:rsid w:val="00EF028E"/>
    <w:rsid w:val="00EF0B98"/>
    <w:rsid w:val="00EF269D"/>
    <w:rsid w:val="00EF2E73"/>
    <w:rsid w:val="00EF35CF"/>
    <w:rsid w:val="00EF50B9"/>
    <w:rsid w:val="00EF5454"/>
    <w:rsid w:val="00EF73BA"/>
    <w:rsid w:val="00EF7683"/>
    <w:rsid w:val="00EF7A2D"/>
    <w:rsid w:val="00F00EE7"/>
    <w:rsid w:val="00F0417C"/>
    <w:rsid w:val="00F04396"/>
    <w:rsid w:val="00F047E6"/>
    <w:rsid w:val="00F04F8D"/>
    <w:rsid w:val="00F05056"/>
    <w:rsid w:val="00F10431"/>
    <w:rsid w:val="00F10AD0"/>
    <w:rsid w:val="00F10B29"/>
    <w:rsid w:val="00F116CC"/>
    <w:rsid w:val="00F120DE"/>
    <w:rsid w:val="00F12BD1"/>
    <w:rsid w:val="00F1343F"/>
    <w:rsid w:val="00F15327"/>
    <w:rsid w:val="00F15B10"/>
    <w:rsid w:val="00F168CF"/>
    <w:rsid w:val="00F215CA"/>
    <w:rsid w:val="00F221C4"/>
    <w:rsid w:val="00F23038"/>
    <w:rsid w:val="00F2555C"/>
    <w:rsid w:val="00F31DF3"/>
    <w:rsid w:val="00F320A5"/>
    <w:rsid w:val="00F32E0D"/>
    <w:rsid w:val="00F33AE5"/>
    <w:rsid w:val="00F3597D"/>
    <w:rsid w:val="00F35D85"/>
    <w:rsid w:val="00F40C79"/>
    <w:rsid w:val="00F4103C"/>
    <w:rsid w:val="00F422D0"/>
    <w:rsid w:val="00F431AF"/>
    <w:rsid w:val="00F4367A"/>
    <w:rsid w:val="00F4376D"/>
    <w:rsid w:val="00F4462E"/>
    <w:rsid w:val="00F45399"/>
    <w:rsid w:val="00F465EA"/>
    <w:rsid w:val="00F47550"/>
    <w:rsid w:val="00F50142"/>
    <w:rsid w:val="00F517F7"/>
    <w:rsid w:val="00F528A5"/>
    <w:rsid w:val="00F54E7B"/>
    <w:rsid w:val="00F55093"/>
    <w:rsid w:val="00F55A88"/>
    <w:rsid w:val="00F5718C"/>
    <w:rsid w:val="00F61236"/>
    <w:rsid w:val="00F63E1D"/>
    <w:rsid w:val="00F65D26"/>
    <w:rsid w:val="00F665BC"/>
    <w:rsid w:val="00F708B5"/>
    <w:rsid w:val="00F725DF"/>
    <w:rsid w:val="00F74005"/>
    <w:rsid w:val="00F76009"/>
    <w:rsid w:val="00F76884"/>
    <w:rsid w:val="00F772BA"/>
    <w:rsid w:val="00F82734"/>
    <w:rsid w:val="00F83D24"/>
    <w:rsid w:val="00F83DD9"/>
    <w:rsid w:val="00F83F40"/>
    <w:rsid w:val="00F86D7D"/>
    <w:rsid w:val="00F91688"/>
    <w:rsid w:val="00F93EFD"/>
    <w:rsid w:val="00F93FCC"/>
    <w:rsid w:val="00F94DDF"/>
    <w:rsid w:val="00F969E5"/>
    <w:rsid w:val="00FA0C20"/>
    <w:rsid w:val="00FA1041"/>
    <w:rsid w:val="00FA117A"/>
    <w:rsid w:val="00FA1FE0"/>
    <w:rsid w:val="00FA22C3"/>
    <w:rsid w:val="00FA72D2"/>
    <w:rsid w:val="00FB386A"/>
    <w:rsid w:val="00FB5A5A"/>
    <w:rsid w:val="00FC0786"/>
    <w:rsid w:val="00FC0BB9"/>
    <w:rsid w:val="00FC2BA0"/>
    <w:rsid w:val="00FC49EF"/>
    <w:rsid w:val="00FD65B0"/>
    <w:rsid w:val="00FD6DA0"/>
    <w:rsid w:val="00FE3537"/>
    <w:rsid w:val="00FE36E2"/>
    <w:rsid w:val="00FF11AD"/>
    <w:rsid w:val="00FF175C"/>
    <w:rsid w:val="00FF2971"/>
    <w:rsid w:val="00FF2CC3"/>
    <w:rsid w:val="00FF34D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qFormat/>
    <w:locked/>
    <w:rsid w:val="006D0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luchili">
    <w:name w:val="luc_hili"/>
    <w:rsid w:val="004E0081"/>
  </w:style>
  <w:style w:type="character" w:customStyle="1" w:styleId="tabulatory">
    <w:name w:val="tabulatory"/>
    <w:rsid w:val="004E0081"/>
  </w:style>
  <w:style w:type="character" w:customStyle="1" w:styleId="CharStyle2">
    <w:name w:val="CharStyle2"/>
    <w:rsid w:val="001E53E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rsid w:val="001E53E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h2">
    <w:name w:val="h2"/>
    <w:rsid w:val="005835BC"/>
  </w:style>
  <w:style w:type="paragraph" w:customStyle="1" w:styleId="h1maintyt">
    <w:name w:val="h1.maintyt"/>
    <w:uiPriority w:val="99"/>
    <w:rsid w:val="005E5501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character" w:customStyle="1" w:styleId="highlight">
    <w:name w:val="highlight"/>
    <w:basedOn w:val="Domylnaczcionkaakapitu"/>
    <w:rsid w:val="00B8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56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7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5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6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13096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mailto:sekrtariat.dpp@mswia.gov.pl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/>
  <cp:keywords/>
  <cp:lastModifiedBy/>
  <cp:revision>1</cp:revision>
  <dcterms:created xsi:type="dcterms:W3CDTF">2023-01-25T10:46:00Z</dcterms:created>
  <dcterms:modified xsi:type="dcterms:W3CDTF">2023-01-27T12:32:00Z</dcterms:modified>
</cp:coreProperties>
</file>